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2502E" w14:textId="75339723" w:rsidR="00FD676E" w:rsidRPr="005F2654" w:rsidRDefault="00FD676E" w:rsidP="00D10A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375078"/>
          <w:sz w:val="24"/>
          <w:szCs w:val="24"/>
          <w:u w:val="single"/>
          <w:lang w:val="fr-BE" w:eastAsia="fr-FR"/>
        </w:rPr>
      </w:pPr>
      <w:r w:rsidRPr="005F2654">
        <w:rPr>
          <w:rFonts w:ascii="Arial" w:eastAsia="Times New Roman" w:hAnsi="Arial" w:cs="Arial"/>
          <w:b/>
          <w:bCs/>
          <w:color w:val="375078"/>
          <w:sz w:val="24"/>
          <w:szCs w:val="24"/>
          <w:u w:val="single"/>
          <w:lang w:val="fr-BE" w:eastAsia="fr-FR"/>
        </w:rPr>
        <w:t>QUESTIONNAIRE</w:t>
      </w:r>
      <w:r w:rsidR="00D10A65">
        <w:rPr>
          <w:rFonts w:ascii="Arial" w:eastAsia="Times New Roman" w:hAnsi="Arial" w:cs="Arial"/>
          <w:b/>
          <w:bCs/>
          <w:color w:val="375078"/>
          <w:sz w:val="24"/>
          <w:szCs w:val="24"/>
          <w:u w:val="single"/>
          <w:lang w:val="fr-BE" w:eastAsia="fr-FR"/>
        </w:rPr>
        <w:t xml:space="preserve"> PET</w:t>
      </w:r>
      <w:r w:rsidRPr="005F2654">
        <w:rPr>
          <w:rFonts w:ascii="Arial" w:eastAsia="Times New Roman" w:hAnsi="Arial" w:cs="Arial"/>
          <w:b/>
          <w:bCs/>
          <w:color w:val="375078"/>
          <w:sz w:val="24"/>
          <w:szCs w:val="24"/>
          <w:u w:val="single"/>
          <w:lang w:val="fr-BE" w:eastAsia="fr-FR"/>
        </w:rPr>
        <w:t> :</w:t>
      </w:r>
    </w:p>
    <w:p w14:paraId="7769BDDD" w14:textId="66A6E77E" w:rsidR="00FD676E" w:rsidRPr="00D10A65" w:rsidRDefault="00FD676E" w:rsidP="00D10A6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color w:val="375078"/>
          <w:sz w:val="24"/>
          <w:szCs w:val="24"/>
          <w:lang w:val="fr-BE" w:eastAsia="fr-FR"/>
        </w:rPr>
      </w:pPr>
      <w:r w:rsidRPr="00D10A65">
        <w:rPr>
          <w:rFonts w:ascii="Arial" w:eastAsia="Times New Roman" w:hAnsi="Arial" w:cs="Arial"/>
          <w:b/>
          <w:bCs/>
          <w:color w:val="375078"/>
          <w:sz w:val="24"/>
          <w:szCs w:val="24"/>
          <w:lang w:val="fr-BE" w:eastAsia="fr-FR"/>
        </w:rPr>
        <w:t>14 DÉCEMBRE 2006 – Arrêté royal fixant les normes auxquelles un service de médecine nucléaire où est installé un scanner PET doit répondre pour être agréé comme service médico-technique au sein de l’article 58 de la loi coordonnée du 10 juillet 2008 sur les hôpitaux et autres établissements de soins</w:t>
      </w:r>
    </w:p>
    <w:p w14:paraId="2C0BA856" w14:textId="77777777" w:rsidR="00FD676E" w:rsidRPr="00FD676E" w:rsidRDefault="00FD676E" w:rsidP="00FD676E">
      <w:pPr>
        <w:spacing w:after="0" w:line="240" w:lineRule="auto"/>
        <w:jc w:val="both"/>
        <w:rPr>
          <w:rFonts w:ascii="Arial" w:eastAsia="Times New Roman" w:hAnsi="Arial" w:cs="Arial"/>
          <w:b/>
          <w:bCs/>
          <w:color w:val="375078"/>
          <w:sz w:val="24"/>
          <w:szCs w:val="24"/>
          <w:u w:val="single"/>
          <w:lang w:val="fr-BE" w:eastAsia="fr-FR"/>
        </w:rPr>
      </w:pPr>
    </w:p>
    <w:p w14:paraId="350F621C" w14:textId="3F35361D" w:rsidR="00BC506F" w:rsidRPr="00EF0D94" w:rsidRDefault="00BC506F" w:rsidP="00BC506F">
      <w:pPr>
        <w:rPr>
          <w:rFonts w:ascii="Palatino Linotype" w:eastAsia="Calibri" w:hAnsi="Palatino Linotype"/>
          <w:i/>
          <w:lang w:val="fr-BE"/>
        </w:rPr>
      </w:pPr>
      <w:r w:rsidRPr="00EF0D94">
        <w:rPr>
          <w:rFonts w:ascii="Palatino Linotype" w:hAnsi="Palatino Linotype"/>
          <w:b/>
          <w:bCs/>
          <w:lang w:val="fr-BE"/>
        </w:rPr>
        <w:t>*</w:t>
      </w:r>
      <w:r w:rsidRPr="00EF0D94">
        <w:rPr>
          <w:rFonts w:ascii="Palatino Linotype" w:eastAsia="Calibri" w:hAnsi="Palatino Linotype"/>
          <w:lang w:val="fr-BE"/>
        </w:rPr>
        <w:t xml:space="preserve"> </w:t>
      </w:r>
      <w:r w:rsidRPr="00EF0D94">
        <w:rPr>
          <w:rFonts w:ascii="Palatino Linotype" w:eastAsia="Calibri" w:hAnsi="Palatino Linotype"/>
          <w:i/>
          <w:lang w:val="fr-BE"/>
        </w:rPr>
        <w:t xml:space="preserve">Pour le traitement optimal de votre demande, il est nécessaire de répondre à </w:t>
      </w:r>
      <w:r w:rsidRPr="00EF0D94">
        <w:rPr>
          <w:rFonts w:ascii="Palatino Linotype" w:eastAsia="Calibri" w:hAnsi="Palatino Linotype"/>
          <w:b/>
          <w:bCs/>
          <w:i/>
          <w:lang w:val="fr-BE"/>
        </w:rPr>
        <w:t>toutes les questions</w:t>
      </w:r>
      <w:r w:rsidRPr="00EF0D94">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03EC5188" w14:textId="73A5DE5A" w:rsidR="008D6279" w:rsidRPr="00D10A65" w:rsidRDefault="00D33873" w:rsidP="008D6279">
      <w:pPr>
        <w:ind w:right="140"/>
        <w:jc w:val="both"/>
        <w:rPr>
          <w:rFonts w:ascii="Arial" w:hAnsi="Arial" w:cs="Arial"/>
          <w:b/>
          <w:bCs/>
          <w:color w:val="375078"/>
          <w:u w:val="single"/>
          <w:lang w:val="fr-BE" w:eastAsia="zh-CN"/>
        </w:rPr>
      </w:pPr>
      <w:r w:rsidRPr="00D10A65">
        <w:rPr>
          <w:rFonts w:ascii="Arial" w:hAnsi="Arial" w:cs="Arial"/>
          <w:b/>
          <w:bCs/>
          <w:color w:val="375078"/>
          <w:u w:val="single"/>
          <w:lang w:val="fr-BE" w:eastAsia="zh-CN"/>
        </w:rPr>
        <w:t xml:space="preserve">1- </w:t>
      </w:r>
      <w:r w:rsidR="008D6279" w:rsidRPr="00D10A65">
        <w:rPr>
          <w:rFonts w:ascii="Arial" w:hAnsi="Arial" w:cs="Arial"/>
          <w:b/>
          <w:bCs/>
          <w:color w:val="375078"/>
          <w:u w:val="single"/>
          <w:lang w:val="fr-BE" w:eastAsia="zh-CN"/>
        </w:rPr>
        <w:t>Si la demande se fait par voie postale: veuillez envoyer les documents dans cet ordre et les enregistrer sur une clé USB (pas dans un fichier zip):</w:t>
      </w:r>
    </w:p>
    <w:p w14:paraId="5B248588" w14:textId="6EFDB8EE" w:rsidR="008D6279" w:rsidRPr="00D10A65" w:rsidRDefault="008D6279" w:rsidP="008D6279">
      <w:pPr>
        <w:ind w:right="140"/>
        <w:jc w:val="both"/>
        <w:rPr>
          <w:rFonts w:ascii="Palatino Linotype" w:hAnsi="Palatino Linotype" w:cs="Times New Roman"/>
          <w:color w:val="FF0000"/>
          <w:lang w:val="fr-BE" w:eastAsia="zh-CN"/>
        </w:rPr>
      </w:pPr>
      <w:bookmarkStart w:id="0" w:name="_Hlk124947372"/>
      <w:r w:rsidRPr="00D10A65">
        <w:rPr>
          <w:rFonts w:ascii="Palatino Linotype" w:hAnsi="Palatino Linotype" w:cs="Times New Roman"/>
          <w:color w:val="FF0000"/>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2F3F0931" w14:textId="48129833" w:rsidR="00D10A65" w:rsidRDefault="00D33873" w:rsidP="008D6279">
      <w:pPr>
        <w:ind w:right="140"/>
        <w:jc w:val="both"/>
        <w:rPr>
          <w:rFonts w:ascii="Arial" w:hAnsi="Arial" w:cs="Arial"/>
          <w:b/>
          <w:bCs/>
          <w:color w:val="375078"/>
          <w:u w:val="single"/>
          <w:lang w:val="fr-BE" w:eastAsia="zh-CN"/>
        </w:rPr>
      </w:pPr>
      <w:r w:rsidRPr="00D10A65">
        <w:rPr>
          <w:rFonts w:ascii="Arial" w:hAnsi="Arial" w:cs="Arial"/>
          <w:b/>
          <w:bCs/>
          <w:color w:val="375078"/>
          <w:u w:val="single"/>
          <w:lang w:val="fr-BE" w:eastAsia="zh-CN"/>
        </w:rPr>
        <w:t xml:space="preserve">2- </w:t>
      </w:r>
      <w:r w:rsidR="008D6279" w:rsidRPr="00D10A65">
        <w:rPr>
          <w:rFonts w:ascii="Arial" w:hAnsi="Arial" w:cs="Arial"/>
          <w:b/>
          <w:bCs/>
          <w:color w:val="375078"/>
          <w:u w:val="single"/>
          <w:lang w:val="fr-BE" w:eastAsia="zh-CN"/>
        </w:rPr>
        <w:t xml:space="preserve">Si la demande se fait de façon </w:t>
      </w:r>
      <w:r w:rsidR="009D6672" w:rsidRPr="00D10A65">
        <w:rPr>
          <w:rFonts w:ascii="Arial" w:hAnsi="Arial" w:cs="Arial"/>
          <w:b/>
          <w:bCs/>
          <w:color w:val="375078"/>
          <w:u w:val="single"/>
          <w:lang w:val="fr-BE" w:eastAsia="zh-CN"/>
        </w:rPr>
        <w:t>digitale</w:t>
      </w:r>
      <w:r w:rsidR="008D6279" w:rsidRPr="00D10A65">
        <w:rPr>
          <w:rFonts w:ascii="Arial" w:hAnsi="Arial" w:cs="Arial"/>
          <w:b/>
          <w:bCs/>
          <w:color w:val="375078"/>
          <w:u w:val="single"/>
          <w:lang w:val="fr-BE" w:eastAsia="zh-CN"/>
        </w:rPr>
        <w:t xml:space="preserve"> (via Irisbox), les documents peuvent être directement téléchargés dans cette application</w:t>
      </w:r>
    </w:p>
    <w:p w14:paraId="0C65C55B" w14:textId="77777777" w:rsidR="00D10A65" w:rsidRPr="00D10A65" w:rsidRDefault="00D10A65" w:rsidP="008D6279">
      <w:pPr>
        <w:ind w:right="140"/>
        <w:jc w:val="both"/>
        <w:rPr>
          <w:rFonts w:ascii="Arial" w:hAnsi="Arial" w:cs="Arial"/>
          <w:b/>
          <w:bCs/>
          <w:color w:val="375078"/>
          <w:u w:val="single"/>
          <w:lang w:val="fr-BE" w:eastAsia="zh-CN"/>
        </w:rPr>
      </w:pPr>
    </w:p>
    <w:p w14:paraId="4295F7F0" w14:textId="4570159B" w:rsidR="00D33873" w:rsidRPr="00D10A65" w:rsidRDefault="00D33873" w:rsidP="008D6279">
      <w:pPr>
        <w:ind w:right="140"/>
        <w:jc w:val="both"/>
        <w:rPr>
          <w:rFonts w:ascii="Arial" w:hAnsi="Arial" w:cs="Arial"/>
          <w:b/>
          <w:bCs/>
          <w:color w:val="375078"/>
          <w:u w:val="single"/>
          <w:lang w:val="fr-BE" w:eastAsia="zh-CN"/>
        </w:rPr>
      </w:pPr>
      <w:r w:rsidRPr="00D10A65">
        <w:rPr>
          <w:rFonts w:ascii="Arial" w:hAnsi="Arial" w:cs="Arial"/>
          <w:b/>
          <w:bCs/>
          <w:color w:val="375078"/>
          <w:u w:val="single"/>
          <w:lang w:val="fr-BE" w:eastAsia="zh-CN"/>
        </w:rPr>
        <w:t>3- Vous pouvez également introduire votre demande accompagnée des documents justificatifs par courrier électronique à l'adresse suivante :</w:t>
      </w:r>
      <w:r w:rsidRPr="00D10A65">
        <w:rPr>
          <w:sz w:val="20"/>
          <w:szCs w:val="20"/>
          <w:lang w:val="fr-BE"/>
        </w:rPr>
        <w:t xml:space="preserve"> </w:t>
      </w:r>
      <w:hyperlink r:id="rId11" w:history="1">
        <w:r w:rsidR="00D10A65" w:rsidRPr="00D10A65">
          <w:rPr>
            <w:rStyle w:val="Lienhypertexte"/>
            <w:rFonts w:ascii="Arial" w:hAnsi="Arial" w:cs="Arial"/>
            <w:b/>
            <w:bCs/>
            <w:lang w:val="fr-BE" w:eastAsia="zh-CN"/>
          </w:rPr>
          <w:t>agrements-erkenningen@vivalis.brussels</w:t>
        </w:r>
      </w:hyperlink>
      <w:r w:rsidR="00D10A65" w:rsidRPr="00D10A65">
        <w:rPr>
          <w:rFonts w:ascii="Arial" w:hAnsi="Arial" w:cs="Arial"/>
          <w:b/>
          <w:bCs/>
          <w:color w:val="375078"/>
          <w:u w:val="single"/>
          <w:lang w:val="fr-BE" w:eastAsia="zh-CN"/>
        </w:rPr>
        <w:t xml:space="preserve"> </w:t>
      </w:r>
    </w:p>
    <w:p w14:paraId="02EA1B4E"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Questionnaire service de médecine nucléaire avec scanner PET complété</w:t>
      </w:r>
    </w:p>
    <w:p w14:paraId="6A261F1A"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 xml:space="preserve">Plan : service de médecine nucléaire avec scanner PET </w:t>
      </w:r>
    </w:p>
    <w:p w14:paraId="53842940"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Description de l’activité oncologique</w:t>
      </w:r>
    </w:p>
    <w:p w14:paraId="102F4FF3"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Copie des accords de collaboration (éventuellement)</w:t>
      </w:r>
    </w:p>
    <w:p w14:paraId="021ACCA3"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Liste des effectifs médicaux</w:t>
      </w:r>
    </w:p>
    <w:p w14:paraId="592934E6"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 xml:space="preserve">Rôle de garde médecins </w:t>
      </w:r>
    </w:p>
    <w:p w14:paraId="1CDF316D"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lastRenderedPageBreak/>
        <w:t xml:space="preserve">Liste des effectifs infirmiers </w:t>
      </w:r>
    </w:p>
    <w:p w14:paraId="3977F339"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Horaire infirmiers</w:t>
      </w:r>
    </w:p>
    <w:p w14:paraId="49BA9644" w14:textId="77777777"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 xml:space="preserve">Liste du personnel autre  </w:t>
      </w:r>
    </w:p>
    <w:p w14:paraId="16239043" w14:textId="16AC710F" w:rsidR="00CB004B" w:rsidRPr="00EF0D94" w:rsidRDefault="00BC506F">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EF0D94">
        <w:rPr>
          <w:rFonts w:ascii="Palatino Linotype" w:eastAsia="Times New Roman" w:hAnsi="Palatino Linotype" w:cstheme="minorHAnsi"/>
          <w:bCs/>
          <w:szCs w:val="24"/>
          <w:lang w:val="fr-FR" w:eastAsia="fr-FR"/>
        </w:rPr>
        <w:t>Autres documents</w:t>
      </w:r>
    </w:p>
    <w:p w14:paraId="707A03D2" w14:textId="3024BE25" w:rsidR="007C538F" w:rsidRPr="00EF0D94" w:rsidRDefault="007C538F" w:rsidP="007C538F">
      <w:pPr>
        <w:spacing w:after="0" w:line="240" w:lineRule="auto"/>
        <w:jc w:val="both"/>
        <w:rPr>
          <w:rFonts w:ascii="Palatino Linotype" w:eastAsia="Times New Roman" w:hAnsi="Palatino Linotype" w:cstheme="minorHAnsi"/>
          <w:bCs/>
          <w:szCs w:val="24"/>
          <w:lang w:val="fr-FR" w:eastAsia="fr-FR"/>
        </w:rPr>
      </w:pPr>
    </w:p>
    <w:p w14:paraId="0C9F5003" w14:textId="56CD29E7" w:rsidR="007C538F" w:rsidRPr="00EF0D94" w:rsidRDefault="007C538F" w:rsidP="007C538F">
      <w:pPr>
        <w:spacing w:after="0" w:line="240" w:lineRule="auto"/>
        <w:jc w:val="both"/>
        <w:rPr>
          <w:rFonts w:ascii="Palatino Linotype" w:eastAsia="Times New Roman" w:hAnsi="Palatino Linotype" w:cstheme="minorHAnsi"/>
          <w:bCs/>
          <w:szCs w:val="24"/>
          <w:lang w:val="fr-FR" w:eastAsia="fr-FR"/>
        </w:rPr>
      </w:pPr>
    </w:p>
    <w:p w14:paraId="6892FBBF" w14:textId="77777777" w:rsidR="00CB004B" w:rsidRPr="00EF0D94" w:rsidRDefault="00CB004B" w:rsidP="005F2654">
      <w:pPr>
        <w:spacing w:after="0" w:line="240" w:lineRule="auto"/>
        <w:rPr>
          <w:rFonts w:ascii="Palatino Linotype" w:eastAsia="Times New Roman" w:hAnsi="Palatino Linotype" w:cstheme="minorHAnsi"/>
          <w:b/>
          <w:bCs/>
          <w:sz w:val="24"/>
          <w:szCs w:val="24"/>
          <w:u w:val="single"/>
          <w:lang w:val="fr-BE" w:eastAsia="fr-FR"/>
        </w:rPr>
      </w:pPr>
    </w:p>
    <w:p w14:paraId="69D0C333" w14:textId="1C98598D" w:rsidR="00CB004B" w:rsidRPr="00D10A65" w:rsidRDefault="00BC506F" w:rsidP="00D10A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375078"/>
          <w:sz w:val="24"/>
          <w:szCs w:val="24"/>
          <w:lang w:val="fr-BE" w:eastAsia="fr-FR"/>
        </w:rPr>
      </w:pPr>
      <w:bookmarkStart w:id="1" w:name="_Hlk157521049"/>
      <w:r w:rsidRPr="00D10A65">
        <w:rPr>
          <w:rFonts w:ascii="Arial" w:eastAsia="Times New Roman" w:hAnsi="Arial" w:cs="Arial"/>
          <w:b/>
          <w:bCs/>
          <w:color w:val="375078"/>
          <w:sz w:val="24"/>
          <w:szCs w:val="24"/>
          <w:lang w:val="fr-BE" w:eastAsia="fr-FR"/>
        </w:rPr>
        <w:t>QUESTIONNAIRE </w:t>
      </w:r>
      <w:r w:rsidR="00D10A65">
        <w:rPr>
          <w:rFonts w:ascii="Arial" w:eastAsia="Times New Roman" w:hAnsi="Arial" w:cs="Arial"/>
          <w:b/>
          <w:bCs/>
          <w:color w:val="375078"/>
          <w:sz w:val="24"/>
          <w:szCs w:val="24"/>
          <w:lang w:val="fr-BE" w:eastAsia="fr-FR"/>
        </w:rPr>
        <w:t>PET</w:t>
      </w:r>
      <w:r w:rsidRPr="00D10A65">
        <w:rPr>
          <w:rFonts w:ascii="Arial" w:eastAsia="Times New Roman" w:hAnsi="Arial" w:cs="Arial"/>
          <w:b/>
          <w:bCs/>
          <w:color w:val="375078"/>
          <w:sz w:val="24"/>
          <w:szCs w:val="24"/>
          <w:lang w:val="fr-BE" w:eastAsia="fr-FR"/>
        </w:rPr>
        <w:t>:</w:t>
      </w:r>
    </w:p>
    <w:p w14:paraId="08DD5C30" w14:textId="77777777" w:rsidR="00CB004B" w:rsidRPr="00D10A65" w:rsidRDefault="00BC506F" w:rsidP="00D10A6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color w:val="375078"/>
          <w:sz w:val="24"/>
          <w:szCs w:val="24"/>
          <w:lang w:val="fr-BE" w:eastAsia="fr-FR"/>
        </w:rPr>
      </w:pPr>
      <w:r w:rsidRPr="00D10A65">
        <w:rPr>
          <w:rFonts w:ascii="Arial" w:eastAsia="Times New Roman" w:hAnsi="Arial" w:cs="Arial"/>
          <w:b/>
          <w:bCs/>
          <w:color w:val="375078"/>
          <w:sz w:val="24"/>
          <w:szCs w:val="24"/>
          <w:lang w:val="fr-BE" w:eastAsia="fr-FR"/>
        </w:rPr>
        <w:t>14 DÉCEMBRE 2006 – Arrêté royal fixant les normes auxquelles un service de médecine nucléaire où est installé un scanner PET doit répondre pour être agréé comme service médico-technique au sein de l’article 58 de la loi coordonnée du 10 juillet 2008 sur les hôpitaux et autres établissements de soins</w:t>
      </w:r>
    </w:p>
    <w:bookmarkEnd w:id="1"/>
    <w:p w14:paraId="2F265D0E" w14:textId="77777777" w:rsidR="00CB004B" w:rsidRPr="005F2654" w:rsidRDefault="00CB004B">
      <w:pPr>
        <w:spacing w:after="0" w:line="240" w:lineRule="auto"/>
        <w:jc w:val="both"/>
        <w:rPr>
          <w:rFonts w:ascii="Arial" w:eastAsia="Times New Roman" w:hAnsi="Arial" w:cs="Arial"/>
          <w:b/>
          <w:bCs/>
          <w:sz w:val="24"/>
          <w:szCs w:val="24"/>
          <w:u w:val="single"/>
          <w:lang w:val="fr-BE" w:eastAsia="fr-FR"/>
        </w:rPr>
      </w:pPr>
    </w:p>
    <w:p w14:paraId="6DCC9DBA" w14:textId="77777777" w:rsidR="00CB004B" w:rsidRPr="005F2654" w:rsidRDefault="00BC506F">
      <w:pPr>
        <w:spacing w:after="0" w:line="240" w:lineRule="auto"/>
        <w:rPr>
          <w:rFonts w:ascii="Arial" w:eastAsia="Times New Roman" w:hAnsi="Arial" w:cs="Arial"/>
          <w:b/>
          <w:bCs/>
          <w:color w:val="375078"/>
          <w:sz w:val="24"/>
          <w:szCs w:val="20"/>
          <w:lang w:val="fr-BE" w:eastAsia="fr-FR"/>
        </w:rPr>
      </w:pPr>
      <w:r w:rsidRPr="005F2654">
        <w:rPr>
          <w:rFonts w:ascii="Arial" w:eastAsia="Times New Roman" w:hAnsi="Arial" w:cs="Arial"/>
          <w:b/>
          <w:bCs/>
          <w:color w:val="375078"/>
          <w:sz w:val="24"/>
          <w:szCs w:val="20"/>
          <w:lang w:val="fr-BE" w:eastAsia="fr-FR"/>
        </w:rPr>
        <w:t>Veuillez remplir le tableau suivant et joindre en annexe les documents requis:</w:t>
      </w:r>
    </w:p>
    <w:p w14:paraId="5DCBD8E3" w14:textId="77777777" w:rsidR="00CB004B" w:rsidRPr="00EF0D94" w:rsidRDefault="00CB004B">
      <w:pPr>
        <w:ind w:left="360"/>
        <w:rPr>
          <w:rFonts w:ascii="Palatino Linotype" w:hAnsi="Palatino Linotype"/>
          <w:lang w:val="fr-BE"/>
        </w:rPr>
      </w:pPr>
    </w:p>
    <w:tbl>
      <w:tblPr>
        <w:tblStyle w:val="Grilledutableau"/>
        <w:tblW w:w="0" w:type="auto"/>
        <w:tblInd w:w="360" w:type="dxa"/>
        <w:tblLayout w:type="fixed"/>
        <w:tblLook w:val="04A0" w:firstRow="1" w:lastRow="0" w:firstColumn="1" w:lastColumn="0" w:noHBand="0" w:noVBand="1"/>
      </w:tblPr>
      <w:tblGrid>
        <w:gridCol w:w="8152"/>
        <w:gridCol w:w="697"/>
        <w:gridCol w:w="425"/>
        <w:gridCol w:w="709"/>
        <w:gridCol w:w="3178"/>
      </w:tblGrid>
      <w:tr w:rsidR="00CB004B" w:rsidRPr="00D10A65" w14:paraId="70DA9AD7" w14:textId="77777777" w:rsidTr="00D10A65">
        <w:tc>
          <w:tcPr>
            <w:tcW w:w="8152" w:type="dxa"/>
          </w:tcPr>
          <w:p w14:paraId="704C6117" w14:textId="77777777" w:rsidR="00CB004B" w:rsidRPr="00EF0D94" w:rsidRDefault="00CB004B">
            <w:pPr>
              <w:rPr>
                <w:rFonts w:ascii="Palatino Linotype" w:hAnsi="Palatino Linotype"/>
                <w:lang w:val="fr-BE"/>
              </w:rPr>
            </w:pPr>
          </w:p>
        </w:tc>
        <w:tc>
          <w:tcPr>
            <w:tcW w:w="697" w:type="dxa"/>
          </w:tcPr>
          <w:p w14:paraId="3D35AD63" w14:textId="77777777" w:rsidR="00CB004B" w:rsidRPr="005F2654" w:rsidRDefault="00BC506F">
            <w:pPr>
              <w:rPr>
                <w:rFonts w:ascii="Palatino Linotype" w:eastAsia="Times New Roman" w:hAnsi="Palatino Linotype" w:cs="Times New Roman"/>
                <w:color w:val="375078"/>
                <w:lang w:eastAsia="nl-BE"/>
              </w:rPr>
            </w:pPr>
            <w:r w:rsidRPr="005F2654">
              <w:rPr>
                <w:rFonts w:ascii="Palatino Linotype" w:eastAsia="Times New Roman" w:hAnsi="Palatino Linotype" w:cs="Times New Roman"/>
                <w:color w:val="375078"/>
                <w:lang w:eastAsia="nl-BE"/>
              </w:rPr>
              <w:t>Oui</w:t>
            </w:r>
          </w:p>
        </w:tc>
        <w:tc>
          <w:tcPr>
            <w:tcW w:w="425" w:type="dxa"/>
          </w:tcPr>
          <w:p w14:paraId="4F497685" w14:textId="77777777" w:rsidR="00CB004B" w:rsidRPr="005F2654" w:rsidRDefault="00BC506F">
            <w:pPr>
              <w:rPr>
                <w:rFonts w:ascii="Palatino Linotype" w:eastAsia="Times New Roman" w:hAnsi="Palatino Linotype" w:cs="Times New Roman"/>
                <w:color w:val="375078"/>
                <w:lang w:eastAsia="nl-BE"/>
              </w:rPr>
            </w:pPr>
            <w:r w:rsidRPr="005F2654">
              <w:rPr>
                <w:rFonts w:ascii="Palatino Linotype" w:eastAsia="Times New Roman" w:hAnsi="Palatino Linotype" w:cs="Times New Roman"/>
                <w:color w:val="375078"/>
                <w:lang w:eastAsia="nl-BE"/>
              </w:rPr>
              <w:t>Non</w:t>
            </w:r>
          </w:p>
        </w:tc>
        <w:tc>
          <w:tcPr>
            <w:tcW w:w="709" w:type="dxa"/>
          </w:tcPr>
          <w:p w14:paraId="5054B810" w14:textId="77777777" w:rsidR="00CB004B" w:rsidRPr="005F2654" w:rsidRDefault="00BC506F">
            <w:pPr>
              <w:rPr>
                <w:rFonts w:ascii="Palatino Linotype" w:eastAsia="Times New Roman" w:hAnsi="Palatino Linotype" w:cs="Times New Roman"/>
                <w:color w:val="375078"/>
                <w:lang w:eastAsia="nl-BE"/>
              </w:rPr>
            </w:pPr>
            <w:r w:rsidRPr="005F2654">
              <w:rPr>
                <w:rFonts w:ascii="Palatino Linotype" w:eastAsia="Times New Roman" w:hAnsi="Palatino Linotype" w:cs="Times New Roman"/>
                <w:color w:val="375078"/>
                <w:lang w:eastAsia="nl-BE"/>
              </w:rPr>
              <w:t xml:space="preserve">PA </w:t>
            </w:r>
          </w:p>
          <w:p w14:paraId="5D261F4B" w14:textId="77777777" w:rsidR="00CB004B" w:rsidRPr="005F2654" w:rsidRDefault="00BC506F">
            <w:pPr>
              <w:rPr>
                <w:rFonts w:ascii="Palatino Linotype" w:eastAsia="Times New Roman" w:hAnsi="Palatino Linotype" w:cs="Times New Roman"/>
                <w:color w:val="375078"/>
                <w:lang w:eastAsia="nl-BE"/>
              </w:rPr>
            </w:pPr>
            <w:r w:rsidRPr="005F2654">
              <w:rPr>
                <w:rFonts w:ascii="Palatino Linotype" w:eastAsia="Times New Roman" w:hAnsi="Palatino Linotype" w:cs="Times New Roman"/>
                <w:color w:val="375078"/>
                <w:sz w:val="16"/>
                <w:lang w:eastAsia="nl-BE"/>
              </w:rPr>
              <w:t>(pas d’application)</w:t>
            </w:r>
          </w:p>
        </w:tc>
        <w:tc>
          <w:tcPr>
            <w:tcW w:w="3178" w:type="dxa"/>
          </w:tcPr>
          <w:p w14:paraId="1A8B6627" w14:textId="77777777" w:rsidR="00CB004B" w:rsidRPr="005F2654" w:rsidRDefault="00BC506F">
            <w:pPr>
              <w:rPr>
                <w:rFonts w:ascii="Palatino Linotype" w:eastAsia="Times New Roman" w:hAnsi="Palatino Linotype" w:cs="Times New Roman"/>
                <w:color w:val="375078"/>
                <w:u w:val="single"/>
                <w:lang w:val="fr-BE" w:eastAsia="nl-BE"/>
              </w:rPr>
            </w:pPr>
            <w:r w:rsidRPr="005F2654">
              <w:rPr>
                <w:rFonts w:ascii="Palatino Linotype" w:eastAsia="Times New Roman" w:hAnsi="Palatino Linotype" w:cs="Times New Roman"/>
                <w:color w:val="375078"/>
                <w:u w:val="single"/>
                <w:lang w:val="fr-BE" w:eastAsia="nl-BE"/>
              </w:rPr>
              <w:t>Complément d’information et/ou remarque(s)</w:t>
            </w:r>
          </w:p>
        </w:tc>
      </w:tr>
      <w:tr w:rsidR="00CB004B" w:rsidRPr="00D10A65" w14:paraId="12900787" w14:textId="77777777" w:rsidTr="00D10A65">
        <w:tc>
          <w:tcPr>
            <w:tcW w:w="8152" w:type="dxa"/>
          </w:tcPr>
          <w:p w14:paraId="0D731E8C"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Art. 2. Le </w:t>
            </w:r>
            <w:r w:rsidRPr="00EF0D94">
              <w:rPr>
                <w:rFonts w:ascii="Palatino Linotype" w:hAnsi="Palatino Linotype"/>
                <w:b/>
                <w:u w:val="single"/>
                <w:lang w:val="fr-BE"/>
              </w:rPr>
              <w:t>centre est considéré comme un service médico-technique</w:t>
            </w:r>
            <w:r w:rsidRPr="00EF0D94">
              <w:rPr>
                <w:rFonts w:ascii="Palatino Linotype" w:hAnsi="Palatino Linotype"/>
                <w:lang w:val="fr-BE"/>
              </w:rPr>
              <w:t xml:space="preserve"> au sens de l'article 58 de la loi coordonnée du 10 juillet 2008 sur les hôpitaux et autres établissements de soins, dans la mesure où il répond aux normes d'agrément fixées ci-après.</w:t>
            </w:r>
          </w:p>
          <w:p w14:paraId="14679ED4"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Le service doit être agréé comme tel.</w:t>
            </w:r>
          </w:p>
        </w:tc>
        <w:tc>
          <w:tcPr>
            <w:tcW w:w="697" w:type="dxa"/>
          </w:tcPr>
          <w:p w14:paraId="6644E6CE" w14:textId="77777777" w:rsidR="00CB004B" w:rsidRPr="00EF0D94" w:rsidRDefault="00CB004B">
            <w:pPr>
              <w:rPr>
                <w:rFonts w:ascii="Palatino Linotype" w:hAnsi="Palatino Linotype"/>
                <w:lang w:val="fr-BE"/>
              </w:rPr>
            </w:pPr>
          </w:p>
        </w:tc>
        <w:tc>
          <w:tcPr>
            <w:tcW w:w="425" w:type="dxa"/>
          </w:tcPr>
          <w:p w14:paraId="7C576B16" w14:textId="77777777" w:rsidR="00CB004B" w:rsidRPr="00EF0D94" w:rsidRDefault="00CB004B">
            <w:pPr>
              <w:rPr>
                <w:rFonts w:ascii="Palatino Linotype" w:hAnsi="Palatino Linotype"/>
                <w:lang w:val="fr-BE"/>
              </w:rPr>
            </w:pPr>
          </w:p>
        </w:tc>
        <w:tc>
          <w:tcPr>
            <w:tcW w:w="709" w:type="dxa"/>
          </w:tcPr>
          <w:p w14:paraId="40B42DAB" w14:textId="77777777" w:rsidR="00CB004B" w:rsidRPr="00EF0D94" w:rsidRDefault="00CB004B">
            <w:pPr>
              <w:rPr>
                <w:rFonts w:ascii="Palatino Linotype" w:hAnsi="Palatino Linotype"/>
                <w:lang w:val="fr-BE"/>
              </w:rPr>
            </w:pPr>
          </w:p>
        </w:tc>
        <w:tc>
          <w:tcPr>
            <w:tcW w:w="3178" w:type="dxa"/>
          </w:tcPr>
          <w:p w14:paraId="5B48CA91" w14:textId="77777777" w:rsidR="00CB004B" w:rsidRPr="00EF0D94" w:rsidRDefault="00CB004B">
            <w:pPr>
              <w:rPr>
                <w:rFonts w:ascii="Palatino Linotype" w:hAnsi="Palatino Linotype"/>
                <w:lang w:val="fr-BE"/>
              </w:rPr>
            </w:pPr>
          </w:p>
        </w:tc>
      </w:tr>
      <w:tr w:rsidR="00CB004B" w:rsidRPr="00D10A65" w14:paraId="410C01CE" w14:textId="77777777" w:rsidTr="00D10A65">
        <w:tc>
          <w:tcPr>
            <w:tcW w:w="8152" w:type="dxa"/>
          </w:tcPr>
          <w:p w14:paraId="3A7D7A45"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Art. 3.</w:t>
            </w:r>
            <w:r w:rsidRPr="00EF0D94">
              <w:rPr>
                <w:rFonts w:ascii="Palatino Linotype" w:hAnsi="Palatino Linotype"/>
                <w:b/>
                <w:lang w:val="fr-BE"/>
              </w:rPr>
              <w:t xml:space="preserve"> </w:t>
            </w:r>
            <w:r w:rsidRPr="00EF0D94">
              <w:rPr>
                <w:rFonts w:ascii="Palatino Linotype" w:hAnsi="Palatino Linotype"/>
                <w:lang w:val="fr-BE"/>
              </w:rPr>
              <w:t xml:space="preserve">Le centre est installé dans un hôpital disposant </w:t>
            </w:r>
            <w:r w:rsidRPr="00EF0D94">
              <w:rPr>
                <w:rFonts w:ascii="Palatino Linotype" w:hAnsi="Palatino Linotype"/>
                <w:b/>
                <w:u w:val="single"/>
                <w:lang w:val="fr-BE"/>
              </w:rPr>
              <w:t>d'un programme de soins agréé en oncologie</w:t>
            </w:r>
            <w:r w:rsidRPr="00EF0D94">
              <w:rPr>
                <w:rFonts w:ascii="Palatino Linotype" w:hAnsi="Palatino Linotype"/>
                <w:lang w:val="fr-BE"/>
              </w:rPr>
              <w:t>.</w:t>
            </w:r>
          </w:p>
          <w:p w14:paraId="7AC873B1" w14:textId="77777777" w:rsidR="00CB004B" w:rsidRPr="00EF0D94" w:rsidRDefault="00BC506F">
            <w:pPr>
              <w:jc w:val="both"/>
              <w:rPr>
                <w:rFonts w:ascii="Palatino Linotype" w:hAnsi="Palatino Linotype"/>
                <w:lang w:val="fr-BE"/>
              </w:rPr>
            </w:pPr>
            <w:r w:rsidRPr="00EF0D94">
              <w:rPr>
                <w:rFonts w:ascii="Palatino Linotype" w:hAnsi="Palatino Linotype"/>
                <w:lang w:val="fr-BE"/>
              </w:rPr>
              <w:lastRenderedPageBreak/>
              <w:t xml:space="preserve">§ 2. Le centre doit fournir la preuve d'une </w:t>
            </w:r>
            <w:r w:rsidRPr="00EF0D94">
              <w:rPr>
                <w:rFonts w:ascii="Palatino Linotype" w:hAnsi="Palatino Linotype"/>
                <w:b/>
                <w:u w:val="single"/>
                <w:lang w:val="fr-BE"/>
              </w:rPr>
              <w:t>activité oncologique suffisante</w:t>
            </w:r>
            <w:r w:rsidRPr="00EF0D94">
              <w:rPr>
                <w:rFonts w:ascii="Palatino Linotype" w:hAnsi="Palatino Linotype"/>
                <w:lang w:val="fr-BE"/>
              </w:rPr>
              <w:t>. Cette activité est démontrée au moyen des paramètres suivants :</w:t>
            </w:r>
          </w:p>
          <w:p w14:paraId="770B4A34"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la </w:t>
            </w:r>
            <w:r w:rsidRPr="00EF0D94">
              <w:rPr>
                <w:rFonts w:ascii="Palatino Linotype" w:hAnsi="Palatino Linotype"/>
                <w:u w:val="single"/>
                <w:lang w:val="fr-BE"/>
              </w:rPr>
              <w:t>taille de l'hôpital ou des hôpitaux</w:t>
            </w:r>
            <w:r w:rsidRPr="00EF0D94">
              <w:rPr>
                <w:rFonts w:ascii="Palatino Linotype" w:hAnsi="Palatino Linotype"/>
                <w:lang w:val="fr-BE"/>
              </w:rPr>
              <w:t xml:space="preserve">, exprimée en </w:t>
            </w:r>
            <w:r w:rsidRPr="00EF0D94">
              <w:rPr>
                <w:rFonts w:ascii="Palatino Linotype" w:hAnsi="Palatino Linotype"/>
                <w:u w:val="single"/>
                <w:lang w:val="fr-BE"/>
              </w:rPr>
              <w:t>nombre de lits agréés</w:t>
            </w:r>
            <w:r w:rsidRPr="00EF0D94">
              <w:rPr>
                <w:rFonts w:ascii="Palatino Linotype" w:hAnsi="Palatino Linotype"/>
                <w:lang w:val="fr-BE"/>
              </w:rPr>
              <w:t>;</w:t>
            </w:r>
          </w:p>
          <w:p w14:paraId="072AA54E"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 le </w:t>
            </w:r>
            <w:r w:rsidRPr="00EF0D94">
              <w:rPr>
                <w:rFonts w:ascii="Palatino Linotype" w:hAnsi="Palatino Linotype"/>
                <w:u w:val="single"/>
                <w:lang w:val="fr-BE"/>
              </w:rPr>
              <w:t>nombre de nouveaux traitements tumoraux</w:t>
            </w:r>
            <w:r w:rsidRPr="00EF0D94">
              <w:rPr>
                <w:rFonts w:ascii="Palatino Linotype" w:hAnsi="Palatino Linotype"/>
                <w:lang w:val="fr-BE"/>
              </w:rPr>
              <w:t xml:space="preserve"> enregistrés </w:t>
            </w:r>
            <w:r w:rsidRPr="00EF0D94">
              <w:rPr>
                <w:rFonts w:ascii="Palatino Linotype" w:hAnsi="Palatino Linotype"/>
                <w:u w:val="single"/>
                <w:lang w:val="fr-BE"/>
              </w:rPr>
              <w:t>par le biais de la consultation oncologique pluridisciplinaire</w:t>
            </w:r>
            <w:r w:rsidRPr="00EF0D94">
              <w:rPr>
                <w:rFonts w:ascii="Palatino Linotype" w:hAnsi="Palatino Linotype"/>
                <w:lang w:val="fr-BE"/>
              </w:rPr>
              <w:t>;</w:t>
            </w:r>
          </w:p>
          <w:p w14:paraId="0A1450EB"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le </w:t>
            </w:r>
            <w:r w:rsidRPr="00EF0D94">
              <w:rPr>
                <w:rFonts w:ascii="Palatino Linotype" w:hAnsi="Palatino Linotype"/>
                <w:u w:val="single"/>
                <w:lang w:val="fr-BE"/>
              </w:rPr>
              <w:t>nombre de nouveaux traitements de radiothérapie</w:t>
            </w:r>
            <w:r w:rsidRPr="00EF0D94">
              <w:rPr>
                <w:rFonts w:ascii="Palatino Linotype" w:hAnsi="Palatino Linotype"/>
                <w:lang w:val="fr-BE"/>
              </w:rPr>
              <w:t xml:space="preserve">, enregistrés </w:t>
            </w:r>
            <w:r w:rsidRPr="00EF0D94">
              <w:rPr>
                <w:rFonts w:ascii="Palatino Linotype" w:hAnsi="Palatino Linotype"/>
                <w:u w:val="single"/>
                <w:lang w:val="fr-BE"/>
              </w:rPr>
              <w:t>par le biais de la "notification de préparation avec simulation d'un traitement par irradiation externe ou de curiethérapie</w:t>
            </w:r>
            <w:r w:rsidRPr="00EF0D94">
              <w:rPr>
                <w:rFonts w:ascii="Palatino Linotype" w:hAnsi="Palatino Linotype"/>
                <w:lang w:val="fr-BE"/>
              </w:rPr>
              <w:t xml:space="preserve"> ";</w:t>
            </w:r>
          </w:p>
          <w:p w14:paraId="487107F6"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le </w:t>
            </w:r>
            <w:r w:rsidRPr="00EF0D94">
              <w:rPr>
                <w:rFonts w:ascii="Palatino Linotype" w:hAnsi="Palatino Linotype"/>
                <w:u w:val="single"/>
                <w:lang w:val="fr-BE"/>
              </w:rPr>
              <w:t>nombre de nouvelles interventions chirurgicales oncologiques par an</w:t>
            </w:r>
            <w:r w:rsidRPr="00EF0D94">
              <w:rPr>
                <w:rFonts w:ascii="Palatino Linotype" w:hAnsi="Palatino Linotype"/>
                <w:lang w:val="fr-BE"/>
              </w:rPr>
              <w:t>;</w:t>
            </w:r>
          </w:p>
          <w:p w14:paraId="334B31DF"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 le </w:t>
            </w:r>
            <w:r w:rsidRPr="00EF0D94">
              <w:rPr>
                <w:rFonts w:ascii="Palatino Linotype" w:hAnsi="Palatino Linotype"/>
                <w:u w:val="single"/>
                <w:lang w:val="fr-BE"/>
              </w:rPr>
              <w:t>nombre de chimiothérapies</w:t>
            </w:r>
            <w:r w:rsidRPr="00EF0D94">
              <w:rPr>
                <w:rFonts w:ascii="Palatino Linotype" w:hAnsi="Palatino Linotype"/>
                <w:lang w:val="fr-BE"/>
              </w:rPr>
              <w:t xml:space="preserve">, déterminé grâce à la </w:t>
            </w:r>
            <w:r w:rsidRPr="00EF0D94">
              <w:rPr>
                <w:rFonts w:ascii="Palatino Linotype" w:hAnsi="Palatino Linotype"/>
                <w:u w:val="single"/>
                <w:lang w:val="fr-BE"/>
              </w:rPr>
              <w:t>facturation des médicaments cytostatiques utilisés</w:t>
            </w:r>
            <w:r w:rsidRPr="00EF0D94">
              <w:rPr>
                <w:rFonts w:ascii="Palatino Linotype" w:hAnsi="Palatino Linotype"/>
                <w:lang w:val="fr-BE"/>
              </w:rPr>
              <w:t>.</w:t>
            </w:r>
          </w:p>
          <w:p w14:paraId="66C5191E" w14:textId="77777777" w:rsidR="00CB004B" w:rsidRPr="00EF0D94" w:rsidRDefault="00BC506F">
            <w:pPr>
              <w:jc w:val="both"/>
              <w:rPr>
                <w:rFonts w:ascii="Palatino Linotype" w:hAnsi="Palatino Linotype"/>
              </w:rPr>
            </w:pPr>
            <w:r w:rsidRPr="00EF0D94">
              <w:rPr>
                <w:rFonts w:ascii="Palatino Linotype" w:hAnsi="Palatino Linotype"/>
                <w:lang w:val="fr-BE"/>
              </w:rPr>
              <w:t xml:space="preserve">§ 3. Afin de pouvoir démontrer une </w:t>
            </w:r>
            <w:r w:rsidRPr="00EF0D94">
              <w:rPr>
                <w:rFonts w:ascii="Palatino Linotype" w:hAnsi="Palatino Linotype"/>
                <w:u w:val="single"/>
                <w:lang w:val="fr-BE"/>
              </w:rPr>
              <w:t>activité oncologique suffisante</w:t>
            </w:r>
            <w:r w:rsidRPr="00EF0D94">
              <w:rPr>
                <w:rFonts w:ascii="Palatino Linotype" w:hAnsi="Palatino Linotype"/>
                <w:lang w:val="fr-BE"/>
              </w:rPr>
              <w:t xml:space="preserve"> conformément au § 2, les hôpitaux peuvent collaborer dans le cadre d'un </w:t>
            </w:r>
            <w:r w:rsidRPr="00EF0D94">
              <w:rPr>
                <w:rFonts w:ascii="Palatino Linotype" w:hAnsi="Palatino Linotype"/>
                <w:u w:val="single"/>
                <w:lang w:val="fr-BE"/>
              </w:rPr>
              <w:t>accord de collaboration formalisé</w:t>
            </w:r>
            <w:r w:rsidRPr="00EF0D94">
              <w:rPr>
                <w:rFonts w:ascii="Palatino Linotype" w:hAnsi="Palatino Linotype"/>
                <w:lang w:val="fr-BE"/>
              </w:rPr>
              <w:t xml:space="preserve">. En pareil cas, </w:t>
            </w:r>
            <w:r w:rsidRPr="00EF0D94">
              <w:rPr>
                <w:rFonts w:ascii="Palatino Linotype" w:hAnsi="Palatino Linotype"/>
                <w:u w:val="single"/>
                <w:lang w:val="fr-BE"/>
              </w:rPr>
              <w:t>les activités oncologiques des hôpitaux coopérants sont additionnées</w:t>
            </w:r>
            <w:r w:rsidRPr="00EF0D94">
              <w:rPr>
                <w:rFonts w:ascii="Palatino Linotype" w:hAnsi="Palatino Linotype"/>
                <w:lang w:val="fr-BE"/>
              </w:rPr>
              <w:t xml:space="preserve">. Les hôpitaux coopérants disposent d'un </w:t>
            </w:r>
            <w:r w:rsidRPr="00EF0D94">
              <w:rPr>
                <w:rFonts w:ascii="Palatino Linotype" w:hAnsi="Palatino Linotype"/>
                <w:u w:val="single"/>
                <w:lang w:val="fr-BE"/>
              </w:rPr>
              <w:t>manuel oncologique pluridisciplinaire commun</w:t>
            </w:r>
            <w:r w:rsidRPr="00EF0D94">
              <w:rPr>
                <w:rFonts w:ascii="Palatino Linotype" w:hAnsi="Palatino Linotype"/>
                <w:lang w:val="fr-BE"/>
              </w:rPr>
              <w:t>.</w:t>
            </w:r>
          </w:p>
        </w:tc>
        <w:tc>
          <w:tcPr>
            <w:tcW w:w="697" w:type="dxa"/>
          </w:tcPr>
          <w:p w14:paraId="32617D53" w14:textId="77777777" w:rsidR="00CB004B" w:rsidRPr="00EF0D94" w:rsidRDefault="00CB004B">
            <w:pPr>
              <w:rPr>
                <w:rFonts w:ascii="Palatino Linotype" w:hAnsi="Palatino Linotype"/>
              </w:rPr>
            </w:pPr>
          </w:p>
        </w:tc>
        <w:tc>
          <w:tcPr>
            <w:tcW w:w="425" w:type="dxa"/>
          </w:tcPr>
          <w:p w14:paraId="6111A26E" w14:textId="77777777" w:rsidR="00CB004B" w:rsidRPr="00EF0D94" w:rsidRDefault="00CB004B">
            <w:pPr>
              <w:rPr>
                <w:rFonts w:ascii="Palatino Linotype" w:hAnsi="Palatino Linotype"/>
              </w:rPr>
            </w:pPr>
          </w:p>
        </w:tc>
        <w:tc>
          <w:tcPr>
            <w:tcW w:w="709" w:type="dxa"/>
          </w:tcPr>
          <w:p w14:paraId="7C914886" w14:textId="77777777" w:rsidR="00CB004B" w:rsidRPr="00EF0D94" w:rsidRDefault="00CB004B">
            <w:pPr>
              <w:rPr>
                <w:rFonts w:ascii="Palatino Linotype" w:hAnsi="Palatino Linotype"/>
              </w:rPr>
            </w:pPr>
          </w:p>
        </w:tc>
        <w:tc>
          <w:tcPr>
            <w:tcW w:w="3178" w:type="dxa"/>
          </w:tcPr>
          <w:p w14:paraId="6C983277" w14:textId="77777777" w:rsidR="00CB004B" w:rsidRPr="00EF0D94" w:rsidRDefault="00CB004B">
            <w:pPr>
              <w:rPr>
                <w:rFonts w:ascii="Palatino Linotype" w:hAnsi="Palatino Linotype"/>
                <w:lang w:val="fr-BE"/>
              </w:rPr>
            </w:pPr>
          </w:p>
          <w:p w14:paraId="25D4EDC0" w14:textId="77777777" w:rsidR="00CB004B" w:rsidRPr="00EF0D94" w:rsidRDefault="00CB004B">
            <w:pPr>
              <w:rPr>
                <w:rFonts w:ascii="Palatino Linotype" w:hAnsi="Palatino Linotype"/>
                <w:lang w:val="fr-BE"/>
              </w:rPr>
            </w:pPr>
          </w:p>
          <w:p w14:paraId="74B1B597" w14:textId="77777777" w:rsidR="00CB004B" w:rsidRPr="00EF0D94" w:rsidRDefault="00CB004B">
            <w:pPr>
              <w:rPr>
                <w:rFonts w:ascii="Palatino Linotype" w:hAnsi="Palatino Linotype"/>
                <w:lang w:val="fr-BE"/>
              </w:rPr>
            </w:pPr>
          </w:p>
          <w:p w14:paraId="60904FB3" w14:textId="77777777" w:rsidR="00CB004B" w:rsidRPr="00EF0D94" w:rsidRDefault="00CB004B">
            <w:pPr>
              <w:rPr>
                <w:rFonts w:ascii="Palatino Linotype" w:hAnsi="Palatino Linotype"/>
                <w:lang w:val="fr-BE"/>
              </w:rPr>
            </w:pPr>
          </w:p>
          <w:p w14:paraId="1B4E6AF5" w14:textId="77777777" w:rsidR="00CB004B" w:rsidRPr="00EF0D94" w:rsidRDefault="00CB004B">
            <w:pPr>
              <w:rPr>
                <w:rFonts w:ascii="Palatino Linotype" w:hAnsi="Palatino Linotype"/>
                <w:lang w:val="fr-BE"/>
              </w:rPr>
            </w:pPr>
          </w:p>
          <w:p w14:paraId="2A6A062F" w14:textId="77777777" w:rsidR="00CB004B" w:rsidRPr="00EF0D94" w:rsidRDefault="00CB004B">
            <w:pPr>
              <w:rPr>
                <w:rFonts w:ascii="Palatino Linotype" w:hAnsi="Palatino Linotype"/>
                <w:lang w:val="fr-BE"/>
              </w:rPr>
            </w:pPr>
          </w:p>
          <w:p w14:paraId="407BEFFF" w14:textId="77777777" w:rsidR="00CB004B" w:rsidRPr="00EF0D94" w:rsidRDefault="00BC506F">
            <w:pPr>
              <w:rPr>
                <w:rFonts w:ascii="Palatino Linotype" w:hAnsi="Palatino Linotype"/>
                <w:b/>
                <w:u w:val="single"/>
                <w:lang w:val="fr-BE"/>
              </w:rPr>
            </w:pPr>
            <w:r w:rsidRPr="00EF0D94">
              <w:rPr>
                <w:rFonts w:ascii="Palatino Linotype" w:hAnsi="Palatino Linotype"/>
                <w:b/>
                <w:u w:val="single"/>
                <w:lang w:val="fr-BE"/>
              </w:rPr>
              <w:t>Nombres?</w:t>
            </w:r>
          </w:p>
          <w:p w14:paraId="6DB2E8F1" w14:textId="77777777" w:rsidR="00CB004B" w:rsidRPr="00EF0D94" w:rsidRDefault="00CB004B">
            <w:pPr>
              <w:rPr>
                <w:rFonts w:ascii="Palatino Linotype" w:hAnsi="Palatino Linotype"/>
                <w:lang w:val="fr-BE"/>
              </w:rPr>
            </w:pPr>
          </w:p>
          <w:p w14:paraId="039F678E" w14:textId="77777777" w:rsidR="00CB004B" w:rsidRPr="00EF0D94" w:rsidRDefault="00CB004B">
            <w:pPr>
              <w:rPr>
                <w:rFonts w:ascii="Palatino Linotype" w:hAnsi="Palatino Linotype"/>
                <w:lang w:val="fr-BE"/>
              </w:rPr>
            </w:pPr>
          </w:p>
          <w:p w14:paraId="15546BC2" w14:textId="77777777" w:rsidR="00CB004B" w:rsidRPr="00EF0D94" w:rsidRDefault="00CB004B">
            <w:pPr>
              <w:rPr>
                <w:rFonts w:ascii="Palatino Linotype" w:hAnsi="Palatino Linotype"/>
                <w:lang w:val="fr-BE"/>
              </w:rPr>
            </w:pPr>
          </w:p>
          <w:p w14:paraId="62B6BBA7" w14:textId="77777777" w:rsidR="00CB004B" w:rsidRPr="00EF0D94" w:rsidRDefault="00CB004B">
            <w:pPr>
              <w:rPr>
                <w:rFonts w:ascii="Palatino Linotype" w:hAnsi="Palatino Linotype"/>
                <w:lang w:val="fr-BE"/>
              </w:rPr>
            </w:pPr>
          </w:p>
          <w:p w14:paraId="1749EF21" w14:textId="77777777" w:rsidR="00CB004B" w:rsidRPr="00EF0D94" w:rsidRDefault="00CB004B">
            <w:pPr>
              <w:rPr>
                <w:rFonts w:ascii="Palatino Linotype" w:hAnsi="Palatino Linotype"/>
                <w:lang w:val="fr-BE"/>
              </w:rPr>
            </w:pPr>
          </w:p>
          <w:p w14:paraId="0A678954" w14:textId="77777777" w:rsidR="00CB004B" w:rsidRPr="00EF0D94" w:rsidRDefault="00BC506F">
            <w:pPr>
              <w:rPr>
                <w:rFonts w:ascii="Palatino Linotype" w:hAnsi="Palatino Linotype"/>
                <w:lang w:val="fr-BE"/>
              </w:rPr>
            </w:pPr>
            <w:r w:rsidRPr="00EF0D94">
              <w:rPr>
                <w:rFonts w:ascii="Palatino Linotype" w:eastAsia="Times New Roman" w:hAnsi="Palatino Linotype" w:cs="Times New Roman"/>
                <w:b/>
                <w:u w:val="single"/>
                <w:lang w:val="fr-BE" w:eastAsia="nl-BE"/>
              </w:rPr>
              <w:t>Copie de tous les accords de collaboration ?</w:t>
            </w:r>
          </w:p>
        </w:tc>
      </w:tr>
      <w:tr w:rsidR="00CB004B" w:rsidRPr="00D10A65" w14:paraId="40F47A1D" w14:textId="77777777" w:rsidTr="00D10A65">
        <w:tc>
          <w:tcPr>
            <w:tcW w:w="8152" w:type="dxa"/>
          </w:tcPr>
          <w:p w14:paraId="04AE0EB6" w14:textId="77777777" w:rsidR="00CB004B" w:rsidRPr="00EF0D94" w:rsidRDefault="00BC506F">
            <w:pPr>
              <w:jc w:val="both"/>
              <w:rPr>
                <w:rFonts w:ascii="Palatino Linotype" w:hAnsi="Palatino Linotype"/>
                <w:lang w:val="fr-BE"/>
              </w:rPr>
            </w:pPr>
            <w:r w:rsidRPr="00EF0D94">
              <w:rPr>
                <w:rFonts w:ascii="Palatino Linotype" w:hAnsi="Palatino Linotype"/>
                <w:lang w:val="fr-BE"/>
              </w:rPr>
              <w:lastRenderedPageBreak/>
              <w:t xml:space="preserve">Art. 4. § 2. Le centre doit </w:t>
            </w:r>
            <w:r w:rsidRPr="00EF0D94">
              <w:rPr>
                <w:rFonts w:ascii="Palatino Linotype" w:hAnsi="Palatino Linotype"/>
                <w:u w:val="single"/>
                <w:lang w:val="fr-BE"/>
              </w:rPr>
              <w:t>pouvoir faire appel à</w:t>
            </w:r>
            <w:r w:rsidRPr="00EF0D94">
              <w:rPr>
                <w:rFonts w:ascii="Palatino Linotype" w:hAnsi="Palatino Linotype"/>
                <w:lang w:val="fr-BE"/>
              </w:rPr>
              <w:t xml:space="preserve"> un </w:t>
            </w:r>
            <w:r w:rsidRPr="00EF0D94">
              <w:rPr>
                <w:rFonts w:ascii="Palatino Linotype" w:hAnsi="Palatino Linotype"/>
                <w:b/>
                <w:u w:val="single"/>
                <w:lang w:val="fr-BE"/>
              </w:rPr>
              <w:t>service de radiothérapie</w:t>
            </w:r>
            <w:r w:rsidRPr="00EF0D94">
              <w:rPr>
                <w:rFonts w:ascii="Palatino Linotype" w:hAnsi="Palatino Linotype"/>
                <w:lang w:val="fr-BE"/>
              </w:rPr>
              <w:t xml:space="preserve"> et à un </w:t>
            </w:r>
            <w:r w:rsidRPr="00EF0D94">
              <w:rPr>
                <w:rFonts w:ascii="Palatino Linotype" w:hAnsi="Palatino Linotype"/>
                <w:b/>
                <w:u w:val="single"/>
                <w:lang w:val="fr-BE"/>
              </w:rPr>
              <w:t>service d'imagerie médicale agréé dans lequel est installé un tomographe à résonance magnétique</w:t>
            </w:r>
            <w:r w:rsidRPr="00EF0D94">
              <w:rPr>
                <w:rFonts w:ascii="Palatino Linotype" w:hAnsi="Palatino Linotype"/>
                <w:lang w:val="fr-BE"/>
              </w:rPr>
              <w:t xml:space="preserve">, et ce, </w:t>
            </w:r>
            <w:r w:rsidRPr="00EF0D94">
              <w:rPr>
                <w:rFonts w:ascii="Palatino Linotype" w:hAnsi="Palatino Linotype"/>
                <w:u w:val="single"/>
                <w:lang w:val="fr-BE"/>
              </w:rPr>
              <w:t>dans l'enceinte de ce même hôpital</w:t>
            </w:r>
            <w:r w:rsidRPr="00EF0D94">
              <w:rPr>
                <w:rFonts w:ascii="Palatino Linotype" w:hAnsi="Palatino Linotype"/>
                <w:lang w:val="fr-BE"/>
              </w:rPr>
              <w:t xml:space="preserve"> ou d'un hôpital avec lequel un </w:t>
            </w:r>
            <w:r w:rsidRPr="00EF0D94">
              <w:rPr>
                <w:rFonts w:ascii="Palatino Linotype" w:hAnsi="Palatino Linotype"/>
                <w:u w:val="single"/>
                <w:lang w:val="fr-BE"/>
              </w:rPr>
              <w:t>accord de collaboration</w:t>
            </w:r>
            <w:r w:rsidRPr="00EF0D94">
              <w:rPr>
                <w:rFonts w:ascii="Palatino Linotype" w:hAnsi="Palatino Linotype"/>
                <w:lang w:val="fr-BE"/>
              </w:rPr>
              <w:t xml:space="preserve"> a été conclu.</w:t>
            </w:r>
          </w:p>
          <w:p w14:paraId="24770B8C"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3. Dans chaque centre]</w:t>
            </w:r>
            <w:hyperlink r:id="rId12" w:anchor="t" w:tooltip="&lt;AR 2014-04-25/F7, art. 5, 002; En vigueur : 18-08-2014&gt;" w:history="1">
              <w:r w:rsidRPr="00EF0D94">
                <w:rPr>
                  <w:rStyle w:val="Lienhypertexte"/>
                  <w:rFonts w:ascii="Palatino Linotype" w:hAnsi="Palatino Linotype"/>
                  <w:color w:val="auto"/>
                  <w:vertAlign w:val="superscript"/>
                  <w:lang w:val="fr-BE"/>
                </w:rPr>
                <w:t>1</w:t>
              </w:r>
            </w:hyperlink>
            <w:r w:rsidRPr="00EF0D94">
              <w:rPr>
                <w:rFonts w:ascii="Palatino Linotype" w:hAnsi="Palatino Linotype"/>
                <w:lang w:val="fr-BE"/>
              </w:rPr>
              <w:t>, on ne peut installer et exploiter qu'</w:t>
            </w:r>
            <w:r w:rsidRPr="00EF0D94">
              <w:rPr>
                <w:rFonts w:ascii="Palatino Linotype" w:hAnsi="Palatino Linotype"/>
                <w:b/>
                <w:u w:val="single"/>
                <w:lang w:val="fr-BE"/>
              </w:rPr>
              <w:t>un seul scanner PET</w:t>
            </w:r>
            <w:r w:rsidRPr="00EF0D94">
              <w:rPr>
                <w:rFonts w:ascii="Palatino Linotype" w:hAnsi="Palatino Linotype"/>
                <w:lang w:val="fr-BE"/>
              </w:rPr>
              <w:t>.</w:t>
            </w:r>
          </w:p>
          <w:p w14:paraId="0602D2E1" w14:textId="77777777" w:rsidR="00CB004B" w:rsidRPr="00EF0D94" w:rsidRDefault="00BC506F">
            <w:pPr>
              <w:jc w:val="both"/>
              <w:rPr>
                <w:rFonts w:ascii="Palatino Linotype" w:hAnsi="Palatino Linotype"/>
                <w:lang w:val="fr-BE"/>
              </w:rPr>
            </w:pPr>
            <w:r w:rsidRPr="00EF0D94">
              <w:rPr>
                <w:rFonts w:ascii="Palatino Linotype" w:hAnsi="Palatino Linotype"/>
                <w:u w:val="single"/>
                <w:lang w:val="fr-BE"/>
              </w:rPr>
              <w:t>Par dérogation à l'alinéa 1</w:t>
            </w:r>
            <w:r w:rsidRPr="00EF0D94">
              <w:rPr>
                <w:rFonts w:ascii="Palatino Linotype" w:hAnsi="Palatino Linotype"/>
                <w:u w:val="single"/>
                <w:vertAlign w:val="superscript"/>
                <w:lang w:val="fr-BE"/>
              </w:rPr>
              <w:t>er</w:t>
            </w:r>
            <w:r w:rsidRPr="00EF0D94">
              <w:rPr>
                <w:rFonts w:ascii="Palatino Linotype" w:hAnsi="Palatino Linotype"/>
                <w:lang w:val="fr-BE"/>
              </w:rPr>
              <w:t xml:space="preserve">, </w:t>
            </w:r>
            <w:r w:rsidRPr="00EF0D94">
              <w:rPr>
                <w:rFonts w:ascii="Palatino Linotype" w:hAnsi="Palatino Linotype"/>
                <w:u w:val="single"/>
                <w:lang w:val="fr-BE"/>
              </w:rPr>
              <w:t>un scanner PET supplémentaire</w:t>
            </w:r>
            <w:r w:rsidRPr="00EF0D94">
              <w:rPr>
                <w:rFonts w:ascii="Palatino Linotype" w:hAnsi="Palatino Linotype"/>
                <w:lang w:val="fr-BE"/>
              </w:rPr>
              <w:t xml:space="preserve"> peut être installé à des fins de formation et de recherche dans un centre agréé au sein d'un </w:t>
            </w:r>
            <w:r w:rsidRPr="00EF0D94">
              <w:rPr>
                <w:rFonts w:ascii="Palatino Linotype" w:hAnsi="Palatino Linotype"/>
                <w:u w:val="single"/>
                <w:lang w:val="fr-BE"/>
              </w:rPr>
              <w:t>hôpital universitaire</w:t>
            </w:r>
            <w:r w:rsidRPr="00EF0D94">
              <w:rPr>
                <w:rFonts w:ascii="Palatino Linotype" w:hAnsi="Palatino Linotype"/>
                <w:lang w:val="fr-BE"/>
              </w:rPr>
              <w:t>, en fonction de la mission spécifique de formation et du développement de nouvelles applications et procédures. Cet appareil supplémentaire doit être installé dans l'enceinte de l'hôpital universitaire.</w:t>
            </w:r>
          </w:p>
          <w:p w14:paraId="3560AD1F" w14:textId="77777777" w:rsidR="00CB004B" w:rsidRPr="00EF0D94" w:rsidRDefault="00BC506F">
            <w:pPr>
              <w:jc w:val="both"/>
              <w:rPr>
                <w:rFonts w:ascii="Palatino Linotype" w:hAnsi="Palatino Linotype"/>
                <w:lang w:val="fr-BE"/>
              </w:rPr>
            </w:pPr>
            <w:r w:rsidRPr="00EF0D94">
              <w:rPr>
                <w:rFonts w:ascii="Palatino Linotype" w:hAnsi="Palatino Linotype"/>
                <w:lang w:val="fr-BE"/>
              </w:rPr>
              <w:lastRenderedPageBreak/>
              <w:t>§ 5. Dans chaque hôpital, on ne peut créer et agréer qu'</w:t>
            </w:r>
            <w:r w:rsidRPr="00EF0D94">
              <w:rPr>
                <w:rFonts w:ascii="Palatino Linotype" w:hAnsi="Palatino Linotype"/>
                <w:b/>
                <w:u w:val="single"/>
                <w:lang w:val="fr-BE"/>
              </w:rPr>
              <w:t>un seul centre</w:t>
            </w:r>
            <w:r w:rsidRPr="00EF0D94">
              <w:rPr>
                <w:rFonts w:ascii="Palatino Linotype" w:hAnsi="Palatino Linotype"/>
                <w:lang w:val="fr-BE"/>
              </w:rPr>
              <w:t>.</w:t>
            </w:r>
          </w:p>
          <w:p w14:paraId="58DE5E9E"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6. </w:t>
            </w:r>
            <w:r w:rsidRPr="00EF0D94">
              <w:rPr>
                <w:rFonts w:ascii="Palatino Linotype" w:hAnsi="Palatino Linotype"/>
                <w:u w:val="single"/>
                <w:lang w:val="fr-BE"/>
              </w:rPr>
              <w:t>Un appareil peut être installé à l'extérieur d'un hôpital</w:t>
            </w:r>
            <w:r w:rsidRPr="00EF0D94">
              <w:rPr>
                <w:rFonts w:ascii="Palatino Linotype" w:hAnsi="Palatino Linotype"/>
                <w:lang w:val="fr-BE"/>
              </w:rPr>
              <w:t>, dans la mesure où toutes les normes d'agrément sont satisfaites, et ce, dans le cadre d'un accord de collaboration formalisé avec des hôpitaux répondant ensemble aux dispositions des articles 3 et 4, et pour autant que les autres éléments du service se trouvent à l'intérieur d'un des hôpitaux visés, qui exploite le service.</w:t>
            </w:r>
          </w:p>
          <w:p w14:paraId="65E0C3DD"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 7. Un </w:t>
            </w:r>
            <w:r w:rsidRPr="00EF0D94">
              <w:rPr>
                <w:rFonts w:ascii="Palatino Linotype" w:hAnsi="Palatino Linotype"/>
                <w:u w:val="single"/>
                <w:lang w:val="fr-BE"/>
              </w:rPr>
              <w:t>hôpital exploitant déjà un centre agréé ou ayant déjà conclu un accord de collaboration</w:t>
            </w:r>
            <w:r w:rsidRPr="00EF0D94">
              <w:rPr>
                <w:rFonts w:ascii="Palatino Linotype" w:hAnsi="Palatino Linotype"/>
                <w:lang w:val="fr-BE"/>
              </w:rPr>
              <w:t xml:space="preserve">, tel que visé au présent article, </w:t>
            </w:r>
            <w:r w:rsidRPr="00EF0D94">
              <w:rPr>
                <w:rFonts w:ascii="Palatino Linotype" w:hAnsi="Palatino Linotype"/>
                <w:u w:val="single"/>
                <w:lang w:val="fr-BE"/>
              </w:rPr>
              <w:t>ne peut adhérer à plus d'une collaboration formalisée</w:t>
            </w:r>
            <w:r w:rsidRPr="00EF0D94">
              <w:rPr>
                <w:rFonts w:ascii="Palatino Linotype" w:hAnsi="Palatino Linotype"/>
                <w:lang w:val="fr-BE"/>
              </w:rPr>
              <w:t>.</w:t>
            </w:r>
          </w:p>
        </w:tc>
        <w:tc>
          <w:tcPr>
            <w:tcW w:w="697" w:type="dxa"/>
          </w:tcPr>
          <w:p w14:paraId="7AC6E7C6" w14:textId="77777777" w:rsidR="00CB004B" w:rsidRPr="00EF0D94" w:rsidRDefault="00CB004B">
            <w:pPr>
              <w:rPr>
                <w:rFonts w:ascii="Palatino Linotype" w:hAnsi="Palatino Linotype"/>
                <w:lang w:val="fr-BE"/>
              </w:rPr>
            </w:pPr>
          </w:p>
        </w:tc>
        <w:tc>
          <w:tcPr>
            <w:tcW w:w="425" w:type="dxa"/>
          </w:tcPr>
          <w:p w14:paraId="3BB685C0" w14:textId="77777777" w:rsidR="00CB004B" w:rsidRPr="00EF0D94" w:rsidRDefault="00CB004B">
            <w:pPr>
              <w:rPr>
                <w:rFonts w:ascii="Palatino Linotype" w:hAnsi="Palatino Linotype"/>
                <w:lang w:val="fr-BE"/>
              </w:rPr>
            </w:pPr>
          </w:p>
        </w:tc>
        <w:tc>
          <w:tcPr>
            <w:tcW w:w="709" w:type="dxa"/>
          </w:tcPr>
          <w:p w14:paraId="6435E31A" w14:textId="77777777" w:rsidR="00CB004B" w:rsidRPr="00EF0D94" w:rsidRDefault="00CB004B">
            <w:pPr>
              <w:rPr>
                <w:rFonts w:ascii="Palatino Linotype" w:hAnsi="Palatino Linotype"/>
                <w:lang w:val="fr-BE"/>
              </w:rPr>
            </w:pPr>
          </w:p>
        </w:tc>
        <w:tc>
          <w:tcPr>
            <w:tcW w:w="3178" w:type="dxa"/>
          </w:tcPr>
          <w:p w14:paraId="025639CF" w14:textId="77777777" w:rsidR="00CB004B" w:rsidRPr="00EF0D94" w:rsidRDefault="00CB004B">
            <w:pPr>
              <w:rPr>
                <w:rFonts w:ascii="Palatino Linotype" w:hAnsi="Palatino Linotype"/>
                <w:lang w:val="fr-BE"/>
              </w:rPr>
            </w:pPr>
          </w:p>
        </w:tc>
      </w:tr>
      <w:tr w:rsidR="00CB004B" w:rsidRPr="00EF0D94" w14:paraId="68C4C833" w14:textId="77777777" w:rsidTr="00D10A65">
        <w:tc>
          <w:tcPr>
            <w:tcW w:w="8152" w:type="dxa"/>
          </w:tcPr>
          <w:p w14:paraId="7DFD820D"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Art. 5. Le centre doit disposer d'un </w:t>
            </w:r>
            <w:r w:rsidRPr="00EF0D94">
              <w:rPr>
                <w:rFonts w:ascii="Palatino Linotype" w:hAnsi="Palatino Linotype"/>
                <w:b/>
                <w:u w:val="single"/>
                <w:lang w:val="fr-BE"/>
              </w:rPr>
              <w:t>staff médical</w:t>
            </w:r>
            <w:r w:rsidRPr="00EF0D94">
              <w:rPr>
                <w:rFonts w:ascii="Palatino Linotype" w:hAnsi="Palatino Linotype"/>
                <w:lang w:val="fr-BE"/>
              </w:rPr>
              <w:t xml:space="preserve"> composé d'</w:t>
            </w:r>
            <w:r w:rsidRPr="00EF0D94">
              <w:rPr>
                <w:rFonts w:ascii="Palatino Linotype" w:hAnsi="Palatino Linotype"/>
                <w:b/>
                <w:u w:val="single"/>
                <w:lang w:val="fr-BE"/>
              </w:rPr>
              <w:t>au moins trois équivalents temps plein médecins spécialistes en médecine nucléaire</w:t>
            </w:r>
            <w:r w:rsidRPr="00EF0D94">
              <w:rPr>
                <w:rFonts w:ascii="Palatino Linotype" w:hAnsi="Palatino Linotype"/>
                <w:lang w:val="fr-BE"/>
              </w:rPr>
              <w:t xml:space="preserve">, ainsi que de </w:t>
            </w:r>
            <w:r w:rsidRPr="00EF0D94">
              <w:rPr>
                <w:rFonts w:ascii="Palatino Linotype" w:hAnsi="Palatino Linotype"/>
                <w:b/>
                <w:u w:val="single"/>
                <w:lang w:val="fr-BE"/>
              </w:rPr>
              <w:t>deux équivalents temps plein praticiens de l'art infirmier ou techniciens en imagerie médicale</w:t>
            </w:r>
            <w:r w:rsidRPr="00EF0D94">
              <w:rPr>
                <w:rFonts w:ascii="Palatino Linotype" w:hAnsi="Palatino Linotype"/>
                <w:lang w:val="fr-BE"/>
              </w:rPr>
              <w:t xml:space="preserve"> </w:t>
            </w:r>
            <w:r w:rsidRPr="00EF0D94">
              <w:rPr>
                <w:rFonts w:ascii="Palatino Linotype" w:hAnsi="Palatino Linotype"/>
                <w:u w:val="single"/>
                <w:lang w:val="fr-BE"/>
              </w:rPr>
              <w:t>qui</w:t>
            </w:r>
            <w:r w:rsidRPr="00EF0D94">
              <w:rPr>
                <w:rFonts w:ascii="Palatino Linotype" w:hAnsi="Palatino Linotype"/>
                <w:lang w:val="fr-BE"/>
              </w:rPr>
              <w:t xml:space="preserve">, au sein du service de médecine nucléaire, </w:t>
            </w:r>
            <w:r w:rsidRPr="00EF0D94">
              <w:rPr>
                <w:rFonts w:ascii="Palatino Linotype" w:hAnsi="Palatino Linotype"/>
                <w:u w:val="single"/>
                <w:lang w:val="fr-BE"/>
              </w:rPr>
              <w:t>ne peuvent que travailler dans le centre PET</w:t>
            </w:r>
            <w:r w:rsidRPr="00EF0D94">
              <w:rPr>
                <w:rFonts w:ascii="Palatino Linotype" w:hAnsi="Palatino Linotype"/>
                <w:lang w:val="fr-BE"/>
              </w:rPr>
              <w:t>.</w:t>
            </w:r>
          </w:p>
          <w:p w14:paraId="01732390" w14:textId="77777777" w:rsidR="00CB004B" w:rsidRPr="00EF0D94" w:rsidRDefault="00BC506F">
            <w:pPr>
              <w:jc w:val="both"/>
              <w:rPr>
                <w:rFonts w:ascii="Palatino Linotype" w:hAnsi="Palatino Linotype"/>
                <w:lang w:val="fr-BE"/>
              </w:rPr>
            </w:pPr>
            <w:r w:rsidRPr="00EF0D94">
              <w:rPr>
                <w:rFonts w:ascii="Palatino Linotype" w:hAnsi="Palatino Linotype"/>
                <w:u w:val="single"/>
                <w:lang w:val="fr-BE"/>
              </w:rPr>
              <w:t>Durant les heures d'ouverture du centre</w:t>
            </w:r>
            <w:r w:rsidRPr="00EF0D94">
              <w:rPr>
                <w:rFonts w:ascii="Palatino Linotype" w:hAnsi="Palatino Linotype"/>
                <w:lang w:val="fr-BE"/>
              </w:rPr>
              <w:t xml:space="preserve">, </w:t>
            </w:r>
            <w:r w:rsidRPr="00EF0D94">
              <w:rPr>
                <w:rFonts w:ascii="Palatino Linotype" w:hAnsi="Palatino Linotype"/>
                <w:b/>
                <w:u w:val="single"/>
                <w:lang w:val="fr-BE"/>
              </w:rPr>
              <w:t>un médecin spécialiste en médecine nucléaire est toujours présent</w:t>
            </w:r>
            <w:r w:rsidRPr="00EF0D94">
              <w:rPr>
                <w:rFonts w:ascii="Palatino Linotype" w:hAnsi="Palatino Linotype"/>
                <w:lang w:val="fr-BE"/>
              </w:rPr>
              <w:t xml:space="preserve"> dans le centre.</w:t>
            </w:r>
          </w:p>
          <w:p w14:paraId="39280216"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Le centre doit pouvoir faire appel à un </w:t>
            </w:r>
            <w:r w:rsidRPr="00EF0D94">
              <w:rPr>
                <w:rFonts w:ascii="Palatino Linotype" w:hAnsi="Palatino Linotype"/>
                <w:b/>
                <w:u w:val="single"/>
                <w:lang w:val="fr-BE"/>
              </w:rPr>
              <w:t>pharmacien hospitalier</w:t>
            </w:r>
            <w:r w:rsidRPr="00EF0D94">
              <w:rPr>
                <w:rFonts w:ascii="Palatino Linotype" w:hAnsi="Palatino Linotype"/>
                <w:lang w:val="fr-BE"/>
              </w:rPr>
              <w:t xml:space="preserve"> disposant d'</w:t>
            </w:r>
            <w:r w:rsidRPr="00EF0D94">
              <w:rPr>
                <w:rFonts w:ascii="Palatino Linotype" w:hAnsi="Palatino Linotype"/>
                <w:u w:val="single"/>
                <w:lang w:val="fr-BE"/>
              </w:rPr>
              <w:t>une expertise spécifique et documentée en radio-isotopes</w:t>
            </w:r>
            <w:r w:rsidRPr="00EF0D94">
              <w:rPr>
                <w:rFonts w:ascii="Palatino Linotype" w:hAnsi="Palatino Linotype"/>
                <w:lang w:val="fr-BE"/>
              </w:rPr>
              <w:t xml:space="preserve">, et à un </w:t>
            </w:r>
            <w:r w:rsidRPr="00EF0D94">
              <w:rPr>
                <w:rFonts w:ascii="Palatino Linotype" w:hAnsi="Palatino Linotype"/>
                <w:b/>
                <w:u w:val="single"/>
                <w:lang w:val="fr-BE"/>
              </w:rPr>
              <w:t>expert</w:t>
            </w:r>
            <w:r w:rsidRPr="00EF0D94">
              <w:rPr>
                <w:rFonts w:ascii="Palatino Linotype" w:hAnsi="Palatino Linotype"/>
                <w:lang w:val="fr-BE"/>
              </w:rPr>
              <w:t xml:space="preserve"> </w:t>
            </w:r>
            <w:r w:rsidRPr="00EF0D94">
              <w:rPr>
                <w:rFonts w:ascii="Palatino Linotype" w:hAnsi="Palatino Linotype"/>
                <w:u w:val="single"/>
                <w:lang w:val="fr-BE"/>
              </w:rPr>
              <w:t>en radiophysique médicale</w:t>
            </w:r>
            <w:r w:rsidRPr="00EF0D94">
              <w:rPr>
                <w:rFonts w:ascii="Palatino Linotype" w:hAnsi="Palatino Linotype"/>
                <w:lang w:val="fr-BE"/>
              </w:rPr>
              <w:t xml:space="preserve"> au sens de l'article 51.7 de l'arrêté royal de 20 juillet 2001 portant règlement général de la protection de la population, des travailleurs et de l'environnement contre le danger des rayonnements ionisants.</w:t>
            </w:r>
          </w:p>
        </w:tc>
        <w:tc>
          <w:tcPr>
            <w:tcW w:w="697" w:type="dxa"/>
          </w:tcPr>
          <w:p w14:paraId="4EE4D75D" w14:textId="77777777" w:rsidR="00CB004B" w:rsidRPr="00EF0D94" w:rsidRDefault="00CB004B">
            <w:pPr>
              <w:rPr>
                <w:rFonts w:ascii="Palatino Linotype" w:hAnsi="Palatino Linotype"/>
                <w:lang w:val="fr-BE"/>
              </w:rPr>
            </w:pPr>
          </w:p>
        </w:tc>
        <w:tc>
          <w:tcPr>
            <w:tcW w:w="425" w:type="dxa"/>
          </w:tcPr>
          <w:p w14:paraId="3C26FA21" w14:textId="77777777" w:rsidR="00CB004B" w:rsidRPr="00EF0D94" w:rsidRDefault="00CB004B">
            <w:pPr>
              <w:rPr>
                <w:rFonts w:ascii="Palatino Linotype" w:hAnsi="Palatino Linotype"/>
                <w:lang w:val="fr-BE"/>
              </w:rPr>
            </w:pPr>
          </w:p>
        </w:tc>
        <w:tc>
          <w:tcPr>
            <w:tcW w:w="709" w:type="dxa"/>
          </w:tcPr>
          <w:p w14:paraId="3E569AAE" w14:textId="77777777" w:rsidR="00CB004B" w:rsidRPr="00EF0D94" w:rsidRDefault="00CB004B">
            <w:pPr>
              <w:rPr>
                <w:rFonts w:ascii="Palatino Linotype" w:hAnsi="Palatino Linotype"/>
                <w:lang w:val="fr-BE"/>
              </w:rPr>
            </w:pPr>
          </w:p>
        </w:tc>
        <w:tc>
          <w:tcPr>
            <w:tcW w:w="3178" w:type="dxa"/>
          </w:tcPr>
          <w:p w14:paraId="1B78E51F" w14:textId="77777777" w:rsidR="00CB004B" w:rsidRPr="00EF0D94" w:rsidRDefault="00BC506F">
            <w:pPr>
              <w:jc w:val="both"/>
              <w:rPr>
                <w:rFonts w:ascii="Palatino Linotype" w:eastAsia="Times New Roman" w:hAnsi="Palatino Linotype" w:cs="Times New Roman"/>
                <w:b/>
                <w:u w:val="single"/>
                <w:lang w:val="fr-BE" w:eastAsia="nl-BE"/>
              </w:rPr>
            </w:pPr>
            <w:r w:rsidRPr="00EF0D94">
              <w:rPr>
                <w:rFonts w:ascii="Palatino Linotype" w:eastAsia="Times New Roman" w:hAnsi="Palatino Linotype" w:cs="Times New Roman"/>
                <w:b/>
                <w:u w:val="single"/>
                <w:lang w:val="fr-BE" w:eastAsia="nl-BE"/>
              </w:rPr>
              <w:t>Liste du personnel reprenant les éléments suivants : noms, CV, nombre d’ETP, expérience dans l’encadrement du personnel médical (+ liste des gardes des médecins sur 3 mois) ?</w:t>
            </w:r>
          </w:p>
          <w:p w14:paraId="07FA9CEC" w14:textId="77777777" w:rsidR="00CB004B" w:rsidRPr="00EF0D94" w:rsidRDefault="00CB004B">
            <w:pPr>
              <w:jc w:val="both"/>
              <w:rPr>
                <w:rFonts w:ascii="Palatino Linotype" w:eastAsia="Times New Roman" w:hAnsi="Palatino Linotype" w:cs="Times New Roman"/>
                <w:b/>
                <w:u w:val="single"/>
                <w:lang w:val="fr-BE" w:eastAsia="nl-BE"/>
              </w:rPr>
            </w:pPr>
          </w:p>
          <w:p w14:paraId="3462C83A" w14:textId="77777777" w:rsidR="00CB004B" w:rsidRPr="00EF0D94" w:rsidRDefault="00CB004B">
            <w:pPr>
              <w:jc w:val="both"/>
              <w:rPr>
                <w:rFonts w:ascii="Palatino Linotype" w:eastAsia="Times New Roman" w:hAnsi="Palatino Linotype" w:cs="Times New Roman"/>
                <w:b/>
                <w:u w:val="single"/>
                <w:lang w:val="fr-BE" w:eastAsia="nl-BE"/>
              </w:rPr>
            </w:pPr>
          </w:p>
          <w:p w14:paraId="4CA81F47" w14:textId="77777777" w:rsidR="00CB004B" w:rsidRPr="00EF0D94" w:rsidRDefault="00BC506F">
            <w:pPr>
              <w:jc w:val="both"/>
              <w:rPr>
                <w:rFonts w:ascii="Palatino Linotype" w:eastAsia="Times New Roman" w:hAnsi="Palatino Linotype" w:cs="Times New Roman"/>
                <w:b/>
                <w:u w:val="single"/>
                <w:lang w:val="fr-BE" w:eastAsia="nl-BE"/>
              </w:rPr>
            </w:pPr>
            <w:r w:rsidRPr="00EF0D94">
              <w:rPr>
                <w:rFonts w:ascii="Palatino Linotype" w:eastAsia="Times New Roman" w:hAnsi="Palatino Linotype" w:cs="Times New Roman"/>
                <w:b/>
                <w:u w:val="single"/>
                <w:lang w:val="fr-BE" w:eastAsia="nl-BE"/>
              </w:rPr>
              <w:t>Pour l’encadrement du personnel non médical, une liste du personnel reprenant les éléments suivants : noms, nombre d’ETP, diplômes ? + horaires d’un mois ?</w:t>
            </w:r>
          </w:p>
        </w:tc>
      </w:tr>
      <w:tr w:rsidR="00CB004B" w:rsidRPr="00D10A65" w14:paraId="160AF1B2" w14:textId="77777777" w:rsidTr="00D10A65">
        <w:tc>
          <w:tcPr>
            <w:tcW w:w="8152" w:type="dxa"/>
          </w:tcPr>
          <w:p w14:paraId="60412B76"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Art. 6. § 1. Pour conserver son agrément, un centre doit </w:t>
            </w:r>
            <w:r w:rsidRPr="00EF0D94">
              <w:rPr>
                <w:rFonts w:ascii="Palatino Linotype" w:hAnsi="Palatino Linotype"/>
                <w:b/>
                <w:u w:val="single"/>
                <w:lang w:val="fr-BE"/>
              </w:rPr>
              <w:t>procéder à une évaluation tant interne qu'externe de la qualité</w:t>
            </w:r>
            <w:r w:rsidRPr="00EF0D94">
              <w:rPr>
                <w:rFonts w:ascii="Palatino Linotype" w:hAnsi="Palatino Linotype"/>
                <w:lang w:val="fr-BE"/>
              </w:rPr>
              <w:t xml:space="preserve">, conformément aux dispositions de l'arrêté </w:t>
            </w:r>
            <w:r w:rsidRPr="00EF0D94">
              <w:rPr>
                <w:rFonts w:ascii="Palatino Linotype" w:hAnsi="Palatino Linotype"/>
                <w:lang w:val="fr-BE"/>
              </w:rPr>
              <w:lastRenderedPageBreak/>
              <w:t>royal du 15 février 1999 relatif à l'évaluation qualitative de l'activité médicale dans les hôpitaux.</w:t>
            </w:r>
          </w:p>
          <w:p w14:paraId="3F2D2D07"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2. L'</w:t>
            </w:r>
            <w:r w:rsidRPr="00EF0D94">
              <w:rPr>
                <w:rFonts w:ascii="Palatino Linotype" w:hAnsi="Palatino Linotype"/>
                <w:b/>
                <w:u w:val="single"/>
                <w:lang w:val="fr-BE"/>
              </w:rPr>
              <w:t>enregistrement interne des données</w:t>
            </w:r>
            <w:r w:rsidRPr="00EF0D94">
              <w:rPr>
                <w:rFonts w:ascii="Palatino Linotype" w:hAnsi="Palatino Linotype"/>
                <w:lang w:val="fr-BE"/>
              </w:rPr>
              <w:t xml:space="preserve">, visé à l'article 3 de l'arrêté précité, doit contenir au moins les </w:t>
            </w:r>
            <w:r w:rsidRPr="00EF0D94">
              <w:rPr>
                <w:rFonts w:ascii="Palatino Linotype" w:hAnsi="Palatino Linotype"/>
                <w:u w:val="single"/>
                <w:lang w:val="fr-BE"/>
              </w:rPr>
              <w:t>paramètres suivants</w:t>
            </w:r>
            <w:r w:rsidRPr="00EF0D94">
              <w:rPr>
                <w:rFonts w:ascii="Palatino Linotype" w:hAnsi="Palatino Linotype"/>
                <w:lang w:val="fr-BE"/>
              </w:rPr>
              <w:t xml:space="preserve"> :</w:t>
            </w:r>
          </w:p>
          <w:p w14:paraId="4325333E"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a) le </w:t>
            </w:r>
            <w:r w:rsidRPr="00EF0D94">
              <w:rPr>
                <w:rFonts w:ascii="Palatino Linotype" w:hAnsi="Palatino Linotype"/>
                <w:u w:val="single"/>
                <w:lang w:val="fr-BE"/>
              </w:rPr>
              <w:t>type de tumeur, anatomopathologique</w:t>
            </w:r>
            <w:r w:rsidRPr="00EF0D94">
              <w:rPr>
                <w:rFonts w:ascii="Palatino Linotype" w:hAnsi="Palatino Linotype"/>
                <w:lang w:val="fr-BE"/>
              </w:rPr>
              <w:t>;</w:t>
            </w:r>
          </w:p>
          <w:p w14:paraId="052BB93A"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b) le </w:t>
            </w:r>
            <w:r w:rsidRPr="00EF0D94">
              <w:rPr>
                <w:rFonts w:ascii="Palatino Linotype" w:hAnsi="Palatino Linotype"/>
                <w:u w:val="single"/>
                <w:lang w:val="fr-BE"/>
              </w:rPr>
              <w:t>stade pré-PET</w:t>
            </w:r>
            <w:r w:rsidRPr="00EF0D94">
              <w:rPr>
                <w:rFonts w:ascii="Palatino Linotype" w:hAnsi="Palatino Linotype"/>
                <w:lang w:val="fr-BE"/>
              </w:rPr>
              <w:t>;</w:t>
            </w:r>
          </w:p>
          <w:p w14:paraId="796DA887"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c) la </w:t>
            </w:r>
            <w:r w:rsidRPr="00EF0D94">
              <w:rPr>
                <w:rFonts w:ascii="Palatino Linotype" w:hAnsi="Palatino Linotype"/>
                <w:u w:val="single"/>
                <w:lang w:val="fr-BE"/>
              </w:rPr>
              <w:t>thérapie prescrite pré-PET</w:t>
            </w:r>
            <w:r w:rsidRPr="00EF0D94">
              <w:rPr>
                <w:rFonts w:ascii="Palatino Linotype" w:hAnsi="Palatino Linotype"/>
                <w:lang w:val="fr-BE"/>
              </w:rPr>
              <w:t>;</w:t>
            </w:r>
          </w:p>
          <w:p w14:paraId="7EE747AA"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d) le </w:t>
            </w:r>
            <w:r w:rsidRPr="00EF0D94">
              <w:rPr>
                <w:rFonts w:ascii="Palatino Linotype" w:hAnsi="Palatino Linotype"/>
                <w:u w:val="single"/>
                <w:lang w:val="fr-BE"/>
              </w:rPr>
              <w:t>questionnaire clinique pour les prestations visées</w:t>
            </w:r>
            <w:r w:rsidRPr="00EF0D94">
              <w:rPr>
                <w:rFonts w:ascii="Palatino Linotype" w:hAnsi="Palatino Linotype"/>
                <w:lang w:val="fr-BE"/>
              </w:rPr>
              <w:t>;</w:t>
            </w:r>
          </w:p>
          <w:p w14:paraId="09B53215"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e) l'</w:t>
            </w:r>
            <w:r w:rsidRPr="00EF0D94">
              <w:rPr>
                <w:rFonts w:ascii="Palatino Linotype" w:hAnsi="Palatino Linotype"/>
                <w:u w:val="single"/>
                <w:lang w:val="fr-BE"/>
              </w:rPr>
              <w:t>indication</w:t>
            </w:r>
            <w:r w:rsidRPr="00EF0D94">
              <w:rPr>
                <w:rFonts w:ascii="Palatino Linotype" w:hAnsi="Palatino Linotype"/>
                <w:lang w:val="fr-BE"/>
              </w:rPr>
              <w:t>, notamment la détermination du stade, l'évaluation de la thérapie, et la présomption de récidive;</w:t>
            </w:r>
          </w:p>
          <w:p w14:paraId="074F03B5"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f) les </w:t>
            </w:r>
            <w:r w:rsidRPr="00EF0D94">
              <w:rPr>
                <w:rFonts w:ascii="Palatino Linotype" w:hAnsi="Palatino Linotype"/>
                <w:u w:val="single"/>
                <w:lang w:val="fr-BE"/>
              </w:rPr>
              <w:t>données des autres modalités d'imagerie</w:t>
            </w:r>
            <w:r w:rsidRPr="00EF0D94">
              <w:rPr>
                <w:rFonts w:ascii="Palatino Linotype" w:hAnsi="Palatino Linotype"/>
                <w:lang w:val="fr-BE"/>
              </w:rPr>
              <w:t>, avec la mention de laquelle;</w:t>
            </w:r>
          </w:p>
          <w:p w14:paraId="7D4DF371"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 xml:space="preserve">g) le </w:t>
            </w:r>
            <w:r w:rsidRPr="00EF0D94">
              <w:rPr>
                <w:rFonts w:ascii="Palatino Linotype" w:hAnsi="Palatino Linotype"/>
                <w:u w:val="single"/>
                <w:lang w:val="fr-BE"/>
              </w:rPr>
              <w:t>résultat de la prestation</w:t>
            </w:r>
            <w:r w:rsidRPr="00EF0D94">
              <w:rPr>
                <w:rFonts w:ascii="Palatino Linotype" w:hAnsi="Palatino Linotype"/>
                <w:lang w:val="fr-BE"/>
              </w:rPr>
              <w:t>;</w:t>
            </w:r>
          </w:p>
          <w:p w14:paraId="32813B33"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h) l'</w:t>
            </w:r>
            <w:r w:rsidRPr="00EF0D94">
              <w:rPr>
                <w:rFonts w:ascii="Palatino Linotype" w:hAnsi="Palatino Linotype"/>
                <w:u w:val="single"/>
                <w:lang w:val="fr-BE"/>
              </w:rPr>
              <w:t xml:space="preserve">influence de la prestation </w:t>
            </w:r>
            <w:r w:rsidRPr="00EF0D94">
              <w:rPr>
                <w:rFonts w:ascii="Palatino Linotype" w:hAnsi="Palatino Linotype"/>
                <w:lang w:val="fr-BE"/>
              </w:rPr>
              <w:t>sur le diagnostic, la détermination du stade et la thérapie.</w:t>
            </w:r>
          </w:p>
          <w:p w14:paraId="22C8E4D4" w14:textId="77777777" w:rsidR="00CB004B" w:rsidRPr="00EF0D94" w:rsidRDefault="00BC506F">
            <w:pPr>
              <w:jc w:val="both"/>
              <w:rPr>
                <w:rFonts w:ascii="Palatino Linotype" w:hAnsi="Palatino Linotype"/>
                <w:lang w:val="fr-BE"/>
              </w:rPr>
            </w:pPr>
            <w:r w:rsidRPr="00EF0D94">
              <w:rPr>
                <w:rFonts w:ascii="Palatino Linotype" w:hAnsi="Palatino Linotype"/>
                <w:lang w:val="fr-BE"/>
              </w:rPr>
              <w:t>Tant que le Collège des médecins n'a défini aucun modèle d'enregistrement comme visé à l'article 8, 2°, de l'arrêté royal précité, chaque hôpital doit suivre un système d'enregistrement, remplissant les conditions visées à l'alinéa 1er. Les données enregistrées sont rassemblées dans une base de données nationale sous forme électronique.</w:t>
            </w:r>
          </w:p>
        </w:tc>
        <w:tc>
          <w:tcPr>
            <w:tcW w:w="697" w:type="dxa"/>
          </w:tcPr>
          <w:p w14:paraId="0FFF4F91" w14:textId="77777777" w:rsidR="00CB004B" w:rsidRPr="00EF0D94" w:rsidRDefault="00CB004B">
            <w:pPr>
              <w:rPr>
                <w:rFonts w:ascii="Palatino Linotype" w:hAnsi="Palatino Linotype"/>
                <w:lang w:val="fr-BE"/>
              </w:rPr>
            </w:pPr>
          </w:p>
        </w:tc>
        <w:tc>
          <w:tcPr>
            <w:tcW w:w="425" w:type="dxa"/>
          </w:tcPr>
          <w:p w14:paraId="509C2A24" w14:textId="77777777" w:rsidR="00CB004B" w:rsidRPr="00EF0D94" w:rsidRDefault="00CB004B">
            <w:pPr>
              <w:rPr>
                <w:rFonts w:ascii="Palatino Linotype" w:hAnsi="Palatino Linotype"/>
                <w:lang w:val="fr-BE"/>
              </w:rPr>
            </w:pPr>
          </w:p>
        </w:tc>
        <w:tc>
          <w:tcPr>
            <w:tcW w:w="709" w:type="dxa"/>
          </w:tcPr>
          <w:p w14:paraId="12099753" w14:textId="77777777" w:rsidR="00CB004B" w:rsidRPr="00EF0D94" w:rsidRDefault="00CB004B">
            <w:pPr>
              <w:rPr>
                <w:rFonts w:ascii="Palatino Linotype" w:hAnsi="Palatino Linotype"/>
                <w:lang w:val="fr-BE"/>
              </w:rPr>
            </w:pPr>
          </w:p>
        </w:tc>
        <w:tc>
          <w:tcPr>
            <w:tcW w:w="3178" w:type="dxa"/>
          </w:tcPr>
          <w:p w14:paraId="14FF0261" w14:textId="77777777" w:rsidR="00CB004B" w:rsidRPr="00EF0D94" w:rsidRDefault="00CB004B">
            <w:pPr>
              <w:jc w:val="both"/>
              <w:rPr>
                <w:rFonts w:ascii="Palatino Linotype" w:eastAsia="Times New Roman" w:hAnsi="Palatino Linotype" w:cs="Times New Roman"/>
                <w:b/>
                <w:u w:val="single"/>
                <w:lang w:val="fr-BE" w:eastAsia="nl-BE"/>
              </w:rPr>
            </w:pPr>
          </w:p>
        </w:tc>
      </w:tr>
    </w:tbl>
    <w:p w14:paraId="3CE704D1" w14:textId="77777777" w:rsidR="00CB004B" w:rsidRPr="00EF0D94" w:rsidRDefault="00CB004B">
      <w:pPr>
        <w:ind w:left="360"/>
        <w:rPr>
          <w:rFonts w:ascii="Palatino Linotype" w:hAnsi="Palatino Linotype"/>
          <w:lang w:val="fr-BE"/>
        </w:rPr>
      </w:pPr>
    </w:p>
    <w:p w14:paraId="05B0A6E3" w14:textId="77777777" w:rsidR="00CB004B" w:rsidRPr="00EF0D94" w:rsidRDefault="00CB004B">
      <w:pPr>
        <w:ind w:left="360"/>
        <w:rPr>
          <w:rFonts w:ascii="Palatino Linotype" w:hAnsi="Palatino Linotype"/>
          <w:lang w:val="fr-BE"/>
        </w:rPr>
      </w:pPr>
    </w:p>
    <w:p w14:paraId="64FF0796" w14:textId="77777777" w:rsidR="00CB004B" w:rsidRPr="00EF0D94" w:rsidRDefault="00BC506F">
      <w:pPr>
        <w:ind w:left="360"/>
        <w:jc w:val="center"/>
        <w:rPr>
          <w:rFonts w:ascii="Palatino Linotype" w:hAnsi="Palatino Linotype"/>
          <w:lang w:val="fr-BE"/>
        </w:rPr>
      </w:pPr>
      <w:r w:rsidRPr="00EF0D94">
        <w:rPr>
          <w:rFonts w:ascii="Palatino Linotype" w:hAnsi="Palatino Linotype"/>
          <w:lang w:val="fr-BE"/>
        </w:rPr>
        <w:t>Date et signature du chef de service</w:t>
      </w:r>
    </w:p>
    <w:p w14:paraId="26D2FD61" w14:textId="77777777" w:rsidR="00CB004B" w:rsidRPr="00EF0D94" w:rsidRDefault="00CB004B">
      <w:pPr>
        <w:ind w:left="360"/>
        <w:jc w:val="center"/>
        <w:rPr>
          <w:rFonts w:ascii="Palatino Linotype" w:hAnsi="Palatino Linotype"/>
          <w:lang w:val="fr-BE"/>
        </w:rPr>
      </w:pPr>
    </w:p>
    <w:p w14:paraId="074F3DB2" w14:textId="77777777" w:rsidR="00CB004B" w:rsidRPr="00EF0D94" w:rsidRDefault="00BC506F">
      <w:pPr>
        <w:ind w:left="360"/>
        <w:jc w:val="center"/>
        <w:rPr>
          <w:rFonts w:ascii="Palatino Linotype" w:hAnsi="Palatino Linotype"/>
          <w:lang w:val="fr-BE"/>
        </w:rPr>
      </w:pPr>
      <w:r w:rsidRPr="00EF0D94">
        <w:rPr>
          <w:rFonts w:ascii="Palatino Linotype" w:hAnsi="Palatino Linotype"/>
          <w:lang w:val="fr-BE"/>
        </w:rPr>
        <w:lastRenderedPageBreak/>
        <w:t>Date et signature du directeur</w:t>
      </w:r>
    </w:p>
    <w:p w14:paraId="05FE85C6" w14:textId="77777777" w:rsidR="00CB004B" w:rsidRPr="00EF0D94" w:rsidRDefault="00CB004B">
      <w:pPr>
        <w:ind w:left="360"/>
        <w:rPr>
          <w:rFonts w:ascii="Palatino Linotype" w:hAnsi="Palatino Linotype"/>
          <w:lang w:val="fr-BE"/>
        </w:rPr>
      </w:pPr>
    </w:p>
    <w:sectPr w:rsidR="00CB004B" w:rsidRPr="00EF0D94" w:rsidSect="005F2654">
      <w:headerReference w:type="default" r:id="rId13"/>
      <w:footerReference w:type="default" r:id="rId14"/>
      <w:pgSz w:w="16838" w:h="11906" w:orient="landscape"/>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E0B3" w14:textId="77777777" w:rsidR="008D13D1" w:rsidRDefault="008D13D1">
      <w:pPr>
        <w:spacing w:after="0" w:line="240" w:lineRule="auto"/>
      </w:pPr>
      <w:r>
        <w:separator/>
      </w:r>
    </w:p>
  </w:endnote>
  <w:endnote w:type="continuationSeparator" w:id="0">
    <w:p w14:paraId="3AA669FD" w14:textId="77777777" w:rsidR="008D13D1" w:rsidRDefault="008D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1C8C3C62" w14:textId="77777777" w:rsidR="00CB004B" w:rsidRDefault="00BC506F">
        <w:pPr>
          <w:pStyle w:val="Pieddepage"/>
          <w:jc w:val="right"/>
        </w:pPr>
        <w:r>
          <w:fldChar w:fldCharType="begin"/>
        </w:r>
        <w:r>
          <w:instrText>PAGE   \* MERGEFORMAT</w:instrText>
        </w:r>
        <w:r>
          <w:fldChar w:fldCharType="separate"/>
        </w:r>
        <w:r w:rsidRPr="00BC506F">
          <w:rPr>
            <w:noProof/>
            <w:lang w:val="nl-NL"/>
          </w:rPr>
          <w:t>4</w:t>
        </w:r>
        <w:r>
          <w:fldChar w:fldCharType="end"/>
        </w:r>
      </w:p>
    </w:sdtContent>
  </w:sdt>
  <w:p w14:paraId="4AF5378B" w14:textId="77777777" w:rsidR="00CB004B" w:rsidRDefault="00CB00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7F550" w14:textId="77777777" w:rsidR="008D13D1" w:rsidRDefault="008D13D1">
      <w:pPr>
        <w:spacing w:after="0" w:line="240" w:lineRule="auto"/>
      </w:pPr>
      <w:r>
        <w:separator/>
      </w:r>
    </w:p>
  </w:footnote>
  <w:footnote w:type="continuationSeparator" w:id="0">
    <w:p w14:paraId="5239A9CC" w14:textId="77777777" w:rsidR="008D13D1" w:rsidRDefault="008D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2F41" w14:textId="3A0E9872" w:rsidR="005F2654" w:rsidRDefault="005F2654">
    <w:pPr>
      <w:pStyle w:val="En-tte"/>
    </w:pPr>
    <w:r>
      <w:rPr>
        <w:noProof/>
      </w:rPr>
      <w:drawing>
        <wp:anchor distT="0" distB="0" distL="114300" distR="114300" simplePos="0" relativeHeight="251658240" behindDoc="0" locked="0" layoutInCell="1" allowOverlap="1" wp14:anchorId="6479AD10" wp14:editId="57EB661F">
          <wp:simplePos x="0" y="0"/>
          <wp:positionH relativeFrom="column">
            <wp:posOffset>79375</wp:posOffset>
          </wp:positionH>
          <wp:positionV relativeFrom="paragraph">
            <wp:posOffset>-17780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5670"/>
    <w:multiLevelType w:val="hybridMultilevel"/>
    <w:tmpl w:val="8D1E46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10"/>
  </w:num>
  <w:num w:numId="6">
    <w:abstractNumId w:val="5"/>
  </w:num>
  <w:num w:numId="7">
    <w:abstractNumId w:val="12"/>
  </w:num>
  <w:num w:numId="8">
    <w:abstractNumId w:val="2"/>
  </w:num>
  <w:num w:numId="9">
    <w:abstractNumId w:val="11"/>
  </w:num>
  <w:num w:numId="10">
    <w:abstractNumId w:val="8"/>
  </w:num>
  <w:num w:numId="11">
    <w:abstractNumId w:val="4"/>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4B"/>
    <w:rsid w:val="000D1F0D"/>
    <w:rsid w:val="005C4F5B"/>
    <w:rsid w:val="005E75B7"/>
    <w:rsid w:val="005F2654"/>
    <w:rsid w:val="007C538F"/>
    <w:rsid w:val="008D13D1"/>
    <w:rsid w:val="008D6279"/>
    <w:rsid w:val="009D6672"/>
    <w:rsid w:val="00B11514"/>
    <w:rsid w:val="00BC506F"/>
    <w:rsid w:val="00CB004B"/>
    <w:rsid w:val="00D10A65"/>
    <w:rsid w:val="00D33873"/>
    <w:rsid w:val="00EF0D94"/>
    <w:rsid w:val="00FD67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FDAB9"/>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sid w:val="00D10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544415">
      <w:bodyDiv w:val="1"/>
      <w:marLeft w:val="0"/>
      <w:marRight w:val="0"/>
      <w:marTop w:val="0"/>
      <w:marBottom w:val="0"/>
      <w:divBdr>
        <w:top w:val="none" w:sz="0" w:space="0" w:color="auto"/>
        <w:left w:val="none" w:sz="0" w:space="0" w:color="auto"/>
        <w:bottom w:val="none" w:sz="0" w:space="0" w:color="auto"/>
        <w:right w:val="none" w:sz="0" w:space="0" w:color="auto"/>
      </w:divBdr>
    </w:div>
    <w:div w:id="1216888966">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justice.just.fgov.be/cgi_loi/loi_a1.pl?language=fr&amp;la=F&amp;cn=2006121462&amp;table_name=loi&amp;&amp;caller=list&amp;F&amp;fromtab=loi&amp;tri=dd+AS+RANK&amp;rech=1&amp;numero=1&amp;sql=(text+contains+(%27%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885A-B5B0-44D8-937C-C6768CD42DE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33BE7C8E-E088-4FD6-8CAA-C0BAAC8BAC85}">
  <ds:schemaRefs>
    <ds:schemaRef ds:uri="http://schemas.microsoft.com/sharepoint/v3/contenttype/forms"/>
  </ds:schemaRefs>
</ds:datastoreItem>
</file>

<file path=customXml/itemProps3.xml><?xml version="1.0" encoding="utf-8"?>
<ds:datastoreItem xmlns:ds="http://schemas.openxmlformats.org/officeDocument/2006/customXml" ds:itemID="{BAF28285-6D2E-466C-B611-78D2E94B7479}"/>
</file>

<file path=customXml/itemProps4.xml><?xml version="1.0" encoding="utf-8"?>
<ds:datastoreItem xmlns:ds="http://schemas.openxmlformats.org/officeDocument/2006/customXml" ds:itemID="{B5BF3250-B6AF-4F95-8C8B-106AC456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1214</Words>
  <Characters>6679</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Dominique Segue</cp:lastModifiedBy>
  <cp:revision>7</cp:revision>
  <cp:lastPrinted>2019-02-26T09:24:00Z</cp:lastPrinted>
  <dcterms:created xsi:type="dcterms:W3CDTF">2024-01-30T14:29:00Z</dcterms:created>
  <dcterms:modified xsi:type="dcterms:W3CDTF">2024-02-13T12:10:00Z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